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506" w:rsidRPr="005D4E41" w:rsidRDefault="00AA12BC" w:rsidP="001E3006">
      <w:pPr>
        <w:pStyle w:val="CommentText"/>
        <w:ind w:right="43"/>
        <w:rPr>
          <w:rFonts w:cs="Arial"/>
          <w:noProof/>
          <w:sz w:val="24"/>
          <w:szCs w:val="24"/>
          <w:lang w:val="en-US"/>
        </w:rPr>
      </w:pPr>
      <w:r w:rsidRPr="005D4E41">
        <w:rPr>
          <w:rFonts w:cs="Arial"/>
          <w:noProof/>
          <w:sz w:val="24"/>
          <w:szCs w:val="24"/>
          <w:lang w:eastAsia="en-GB"/>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-683895</wp:posOffset>
                </wp:positionV>
                <wp:extent cx="1143000" cy="1485900"/>
                <wp:effectExtent l="0" t="1905"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0506" w:rsidRDefault="00AA12BC">
                            <w:r>
                              <w:rPr>
                                <w:noProof/>
                                <w:lang w:eastAsia="en-GB"/>
                              </w:rPr>
                              <w:drawing>
                                <wp:inline distT="0" distB="0" distL="0" distR="0">
                                  <wp:extent cx="937260" cy="1257300"/>
                                  <wp:effectExtent l="0" t="0" r="0" b="0"/>
                                  <wp:docPr id="2" name="Picture 2"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7260" cy="1257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b&#10;DFK4hAIAABEFAAAOAAAAAAAAAAAAAAAAAC4CAABkcnMvZTJvRG9jLnhtbFBLAQItABQABgAIAAAA&#10;IQA8kLBT3wAAAAwBAAAPAAAAAAAAAAAAAAAAAN4EAABkcnMvZG93bnJldi54bWxQSwUGAAAAAAQA&#10;BADzAAAA6gUAAAAA&#10;" stroked="f">
                <v:textbox>
                  <w:txbxContent>
                    <w:p w:rsidR="00840506" w:rsidRDefault="00AA12BC">
                      <w:r>
                        <w:rPr>
                          <w:noProof/>
                          <w:lang w:eastAsia="en-GB"/>
                        </w:rPr>
                        <w:drawing>
                          <wp:inline distT="0" distB="0" distL="0" distR="0">
                            <wp:extent cx="937260" cy="1257300"/>
                            <wp:effectExtent l="0" t="0" r="0" b="0"/>
                            <wp:docPr id="2" name="Picture 2"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7260" cy="1257300"/>
                                    </a:xfrm>
                                    <a:prstGeom prst="rect">
                                      <a:avLst/>
                                    </a:prstGeom>
                                    <a:noFill/>
                                    <a:ln>
                                      <a:noFill/>
                                    </a:ln>
                                  </pic:spPr>
                                </pic:pic>
                              </a:graphicData>
                            </a:graphic>
                          </wp:inline>
                        </w:drawing>
                      </w:r>
                    </w:p>
                  </w:txbxContent>
                </v:textbox>
              </v:shape>
            </w:pict>
          </mc:Fallback>
        </mc:AlternateContent>
      </w:r>
    </w:p>
    <w:p w:rsidR="00840506" w:rsidRPr="005D4E41" w:rsidRDefault="00840506" w:rsidP="00547E28">
      <w:pPr>
        <w:ind w:right="43"/>
        <w:jc w:val="right"/>
        <w:rPr>
          <w:rFonts w:cs="Arial"/>
          <w:b/>
          <w:bCs/>
        </w:rPr>
      </w:pPr>
    </w:p>
    <w:p w:rsidR="00840506" w:rsidRPr="005D4E41" w:rsidRDefault="00840506" w:rsidP="00547E28">
      <w:pPr>
        <w:ind w:right="43"/>
        <w:jc w:val="right"/>
        <w:rPr>
          <w:rFonts w:cs="Arial"/>
        </w:rPr>
      </w:pPr>
    </w:p>
    <w:p w:rsidR="00840506" w:rsidRPr="005D4E41" w:rsidRDefault="00840506" w:rsidP="00547E28">
      <w:pPr>
        <w:tabs>
          <w:tab w:val="left" w:pos="2160"/>
        </w:tabs>
        <w:ind w:right="43"/>
        <w:rPr>
          <w:rFonts w:cs="Arial"/>
          <w:b/>
          <w:bCs/>
        </w:rPr>
      </w:pPr>
    </w:p>
    <w:p w:rsidR="00840506" w:rsidRPr="005D4E41" w:rsidRDefault="00840506" w:rsidP="00547E28">
      <w:pPr>
        <w:tabs>
          <w:tab w:val="left" w:pos="2160"/>
        </w:tabs>
        <w:ind w:right="43"/>
        <w:rPr>
          <w:rFonts w:cs="Arial"/>
          <w:b/>
          <w:bCs/>
        </w:rPr>
      </w:pPr>
      <w:r w:rsidRPr="005D4E41">
        <w:rPr>
          <w:rFonts w:cs="Arial"/>
          <w:b/>
          <w:bCs/>
        </w:rPr>
        <w:t>To:</w:t>
      </w:r>
      <w:r w:rsidRPr="005D4E41">
        <w:rPr>
          <w:rFonts w:cs="Arial"/>
          <w:b/>
          <w:bCs/>
        </w:rPr>
        <w:tab/>
      </w:r>
      <w:r w:rsidR="00547E28" w:rsidRPr="005D4E41">
        <w:rPr>
          <w:rFonts w:cs="Arial"/>
          <w:b/>
          <w:bCs/>
        </w:rPr>
        <w:t>Audit and Governance Committee</w:t>
      </w:r>
    </w:p>
    <w:p w:rsidR="00840506" w:rsidRPr="005D4E41" w:rsidRDefault="00840506" w:rsidP="00547E28">
      <w:pPr>
        <w:ind w:right="43"/>
        <w:rPr>
          <w:rFonts w:cs="Arial"/>
          <w:b/>
          <w:bCs/>
        </w:rPr>
      </w:pPr>
    </w:p>
    <w:p w:rsidR="00840506" w:rsidRPr="005D4E41" w:rsidRDefault="00547E28" w:rsidP="00547E28">
      <w:pPr>
        <w:tabs>
          <w:tab w:val="left" w:pos="2160"/>
          <w:tab w:val="left" w:pos="6300"/>
          <w:tab w:val="left" w:pos="7380"/>
        </w:tabs>
        <w:ind w:right="43"/>
        <w:rPr>
          <w:rFonts w:cs="Arial"/>
          <w:b/>
          <w:bCs/>
        </w:rPr>
      </w:pPr>
      <w:r w:rsidRPr="005D4E41">
        <w:rPr>
          <w:rFonts w:cs="Arial"/>
          <w:b/>
          <w:bCs/>
        </w:rPr>
        <w:t>Date:</w:t>
      </w:r>
      <w:r w:rsidRPr="005D4E41">
        <w:rPr>
          <w:rFonts w:cs="Arial"/>
          <w:b/>
          <w:bCs/>
        </w:rPr>
        <w:tab/>
        <w:t>2</w:t>
      </w:r>
      <w:r w:rsidR="00823151" w:rsidRPr="005D4E41">
        <w:rPr>
          <w:rFonts w:cs="Arial"/>
          <w:b/>
          <w:bCs/>
        </w:rPr>
        <w:t>2nd</w:t>
      </w:r>
      <w:r w:rsidRPr="005D4E41">
        <w:rPr>
          <w:rFonts w:cs="Arial"/>
          <w:b/>
          <w:bCs/>
        </w:rPr>
        <w:t xml:space="preserve"> </w:t>
      </w:r>
      <w:r w:rsidR="00823151" w:rsidRPr="005D4E41">
        <w:rPr>
          <w:rFonts w:cs="Arial"/>
          <w:b/>
          <w:bCs/>
        </w:rPr>
        <w:t>April 2021</w:t>
      </w:r>
    </w:p>
    <w:p w:rsidR="00840506" w:rsidRPr="005D4E41" w:rsidRDefault="00840506" w:rsidP="005D4E41">
      <w:pPr>
        <w:ind w:right="43"/>
        <w:jc w:val="center"/>
        <w:rPr>
          <w:rFonts w:cs="Arial"/>
          <w:b/>
          <w:bCs/>
        </w:rPr>
      </w:pPr>
    </w:p>
    <w:p w:rsidR="00840506" w:rsidRPr="005D4E41" w:rsidRDefault="00840506" w:rsidP="00547E28">
      <w:pPr>
        <w:tabs>
          <w:tab w:val="left" w:pos="2127"/>
        </w:tabs>
        <w:ind w:right="43"/>
        <w:rPr>
          <w:rFonts w:cs="Arial"/>
          <w:b/>
          <w:bCs/>
        </w:rPr>
      </w:pPr>
      <w:r w:rsidRPr="005D4E41">
        <w:rPr>
          <w:rFonts w:cs="Arial"/>
          <w:b/>
          <w:bCs/>
        </w:rPr>
        <w:t>Report of:</w:t>
      </w:r>
      <w:r w:rsidRPr="005D4E41">
        <w:rPr>
          <w:rFonts w:cs="Arial"/>
          <w:b/>
          <w:bCs/>
        </w:rPr>
        <w:tab/>
      </w:r>
      <w:r w:rsidR="00E23D50" w:rsidRPr="005D4E41">
        <w:rPr>
          <w:rFonts w:cs="Arial"/>
          <w:b/>
          <w:bCs/>
        </w:rPr>
        <w:t>Head of Financial Services</w:t>
      </w:r>
    </w:p>
    <w:p w:rsidR="00840506" w:rsidRPr="005D4E41" w:rsidRDefault="00840506" w:rsidP="00547E28">
      <w:pPr>
        <w:tabs>
          <w:tab w:val="left" w:pos="2160"/>
        </w:tabs>
        <w:ind w:right="43"/>
        <w:rPr>
          <w:rFonts w:cs="Arial"/>
          <w:b/>
          <w:bCs/>
        </w:rPr>
      </w:pPr>
    </w:p>
    <w:p w:rsidR="00840506" w:rsidRPr="005D4E41" w:rsidRDefault="00840506" w:rsidP="00547E28">
      <w:pPr>
        <w:tabs>
          <w:tab w:val="left" w:pos="2160"/>
        </w:tabs>
        <w:ind w:left="2127" w:right="43" w:hanging="2127"/>
        <w:rPr>
          <w:rFonts w:cs="Arial"/>
          <w:b/>
          <w:bCs/>
        </w:rPr>
      </w:pPr>
      <w:r w:rsidRPr="005D4E41">
        <w:rPr>
          <w:rFonts w:cs="Arial"/>
          <w:b/>
          <w:bCs/>
        </w:rPr>
        <w:t xml:space="preserve">Title of Report: </w:t>
      </w:r>
      <w:r w:rsidRPr="005D4E41">
        <w:rPr>
          <w:rFonts w:cs="Arial"/>
          <w:b/>
          <w:bCs/>
        </w:rPr>
        <w:tab/>
      </w:r>
      <w:r w:rsidR="00FD1F36" w:rsidRPr="005D4E41">
        <w:rPr>
          <w:rFonts w:cs="Arial"/>
          <w:b/>
          <w:bCs/>
        </w:rPr>
        <w:t>Internal Audit Tender</w:t>
      </w:r>
    </w:p>
    <w:p w:rsidR="00840506" w:rsidRPr="005D4E41" w:rsidRDefault="00840506" w:rsidP="005D4E41">
      <w:pPr>
        <w:pStyle w:val="Heading1"/>
      </w:pPr>
    </w:p>
    <w:p w:rsidR="00840506" w:rsidRPr="005D4E41" w:rsidRDefault="00840506" w:rsidP="005D4E41">
      <w:pPr>
        <w:pStyle w:val="Heading1"/>
      </w:pPr>
      <w:r w:rsidRPr="005D4E41">
        <w:t>Summary and Recommendations</w:t>
      </w:r>
    </w:p>
    <w:p w:rsidR="00840506" w:rsidRPr="005D4E41" w:rsidRDefault="00840506" w:rsidP="00547E28">
      <w:pPr>
        <w:pBdr>
          <w:top w:val="single" w:sz="4" w:space="1" w:color="auto"/>
          <w:left w:val="single" w:sz="4" w:space="4" w:color="auto"/>
          <w:bottom w:val="single" w:sz="4" w:space="1" w:color="auto"/>
          <w:right w:val="single" w:sz="4" w:space="4" w:color="auto"/>
        </w:pBdr>
        <w:ind w:right="43"/>
        <w:rPr>
          <w:rFonts w:cs="Arial"/>
        </w:rPr>
      </w:pPr>
    </w:p>
    <w:p w:rsidR="000675A5" w:rsidRPr="005D4E41" w:rsidRDefault="00840506" w:rsidP="00E60879">
      <w:pPr>
        <w:pBdr>
          <w:top w:val="single" w:sz="4" w:space="1" w:color="auto"/>
          <w:left w:val="single" w:sz="4" w:space="4" w:color="auto"/>
          <w:bottom w:val="single" w:sz="4" w:space="1" w:color="auto"/>
          <w:right w:val="single" w:sz="4" w:space="4" w:color="auto"/>
        </w:pBdr>
        <w:ind w:left="2835" w:right="43" w:hanging="2835"/>
        <w:rPr>
          <w:rFonts w:cs="Arial"/>
        </w:rPr>
      </w:pPr>
      <w:r w:rsidRPr="005D4E41">
        <w:rPr>
          <w:rFonts w:cs="Arial"/>
          <w:b/>
          <w:bCs/>
        </w:rPr>
        <w:t>Purpose of report</w:t>
      </w:r>
      <w:r w:rsidRPr="005D4E41">
        <w:rPr>
          <w:rFonts w:cs="Arial"/>
        </w:rPr>
        <w:t xml:space="preserve">:  </w:t>
      </w:r>
      <w:r w:rsidRPr="005D4E41">
        <w:rPr>
          <w:rFonts w:cs="Arial"/>
        </w:rPr>
        <w:tab/>
      </w:r>
      <w:r w:rsidR="000675A5" w:rsidRPr="005D4E41">
        <w:rPr>
          <w:rFonts w:cs="Arial"/>
        </w:rPr>
        <w:t xml:space="preserve">To advise members of the </w:t>
      </w:r>
      <w:r w:rsidR="00FD1F36" w:rsidRPr="005D4E41">
        <w:rPr>
          <w:rFonts w:cs="Arial"/>
        </w:rPr>
        <w:t>Internal Audit tender process and result</w:t>
      </w:r>
    </w:p>
    <w:p w:rsidR="00FD1F36" w:rsidRPr="005D4E41" w:rsidRDefault="00FD1F36" w:rsidP="00E60879">
      <w:pPr>
        <w:pBdr>
          <w:top w:val="single" w:sz="4" w:space="1" w:color="auto"/>
          <w:left w:val="single" w:sz="4" w:space="4" w:color="auto"/>
          <w:bottom w:val="single" w:sz="4" w:space="1" w:color="auto"/>
          <w:right w:val="single" w:sz="4" w:space="4" w:color="auto"/>
        </w:pBdr>
        <w:ind w:left="2835" w:right="43" w:hanging="2835"/>
        <w:rPr>
          <w:rFonts w:cs="Arial"/>
        </w:rPr>
      </w:pPr>
    </w:p>
    <w:p w:rsidR="00840506" w:rsidRPr="005D4E41" w:rsidRDefault="00E60879" w:rsidP="00124DA8">
      <w:pPr>
        <w:pBdr>
          <w:top w:val="single" w:sz="4" w:space="1" w:color="auto"/>
          <w:left w:val="single" w:sz="4" w:space="4" w:color="auto"/>
          <w:bottom w:val="single" w:sz="4" w:space="1" w:color="auto"/>
          <w:right w:val="single" w:sz="4" w:space="4" w:color="auto"/>
        </w:pBdr>
        <w:tabs>
          <w:tab w:val="left" w:pos="2835"/>
        </w:tabs>
        <w:ind w:right="43"/>
        <w:rPr>
          <w:rFonts w:cs="Arial"/>
          <w:b/>
          <w:bCs/>
        </w:rPr>
      </w:pPr>
      <w:r w:rsidRPr="005D4E41">
        <w:rPr>
          <w:rFonts w:cs="Arial"/>
          <w:b/>
          <w:bCs/>
        </w:rPr>
        <w:t>Key Decision?</w:t>
      </w:r>
      <w:r w:rsidR="00547E28" w:rsidRPr="005D4E41">
        <w:rPr>
          <w:rFonts w:cs="Arial"/>
          <w:b/>
          <w:bCs/>
        </w:rPr>
        <w:tab/>
      </w:r>
      <w:r w:rsidRPr="005D4E41">
        <w:rPr>
          <w:rFonts w:cs="Arial"/>
          <w:bCs/>
        </w:rPr>
        <w:t>No</w:t>
      </w:r>
    </w:p>
    <w:p w:rsidR="00E60879" w:rsidRPr="005D4E41" w:rsidRDefault="00E60879" w:rsidP="00547E28">
      <w:pPr>
        <w:pBdr>
          <w:top w:val="single" w:sz="4" w:space="1" w:color="auto"/>
          <w:left w:val="single" w:sz="4" w:space="4" w:color="auto"/>
          <w:bottom w:val="single" w:sz="4" w:space="1" w:color="auto"/>
          <w:right w:val="single" w:sz="4" w:space="4" w:color="auto"/>
        </w:pBdr>
        <w:ind w:right="43"/>
        <w:rPr>
          <w:rFonts w:cs="Arial"/>
          <w:b/>
          <w:bCs/>
        </w:rPr>
      </w:pPr>
    </w:p>
    <w:p w:rsidR="00E60879" w:rsidRPr="005D4E41" w:rsidRDefault="00124DA8" w:rsidP="000675A5">
      <w:pPr>
        <w:pBdr>
          <w:top w:val="single" w:sz="4" w:space="1" w:color="auto"/>
          <w:left w:val="single" w:sz="4" w:space="4" w:color="auto"/>
          <w:bottom w:val="single" w:sz="4" w:space="1" w:color="auto"/>
          <w:right w:val="single" w:sz="4" w:space="4" w:color="auto"/>
        </w:pBdr>
        <w:ind w:left="2880" w:right="43" w:hanging="2880"/>
        <w:rPr>
          <w:rFonts w:cs="Arial"/>
          <w:bCs/>
        </w:rPr>
      </w:pPr>
      <w:r w:rsidRPr="005D4E41">
        <w:rPr>
          <w:rFonts w:cs="Arial"/>
          <w:b/>
          <w:bCs/>
        </w:rPr>
        <w:t>Executive lead member</w:t>
      </w:r>
      <w:r w:rsidRPr="005D4E41">
        <w:rPr>
          <w:rFonts w:cs="Arial"/>
          <w:b/>
          <w:bCs/>
        </w:rPr>
        <w:tab/>
      </w:r>
      <w:r w:rsidR="00E60879" w:rsidRPr="005D4E41">
        <w:rPr>
          <w:rFonts w:cs="Arial"/>
          <w:bCs/>
        </w:rPr>
        <w:t>Councillor Ed Turner</w:t>
      </w:r>
      <w:r w:rsidR="000675A5" w:rsidRPr="005D4E41">
        <w:rPr>
          <w:rFonts w:cs="Arial"/>
          <w:bCs/>
        </w:rPr>
        <w:t xml:space="preserve"> (Cabinet Member for Finance and Assets)</w:t>
      </w:r>
    </w:p>
    <w:p w:rsidR="00840506" w:rsidRPr="005D4E41" w:rsidRDefault="00840506" w:rsidP="00547E28">
      <w:pPr>
        <w:pBdr>
          <w:top w:val="single" w:sz="4" w:space="1" w:color="auto"/>
          <w:left w:val="single" w:sz="4" w:space="4" w:color="auto"/>
          <w:bottom w:val="single" w:sz="4" w:space="1" w:color="auto"/>
          <w:right w:val="single" w:sz="4" w:space="4" w:color="auto"/>
        </w:pBdr>
        <w:ind w:right="43"/>
        <w:rPr>
          <w:rFonts w:cs="Arial"/>
          <w:bCs/>
        </w:rPr>
      </w:pPr>
    </w:p>
    <w:p w:rsidR="00840506" w:rsidRDefault="00E60879" w:rsidP="005D4E41">
      <w:pPr>
        <w:pBdr>
          <w:top w:val="single" w:sz="4" w:space="1" w:color="auto"/>
          <w:left w:val="single" w:sz="4" w:space="4" w:color="auto"/>
          <w:bottom w:val="single" w:sz="4" w:space="1" w:color="auto"/>
          <w:right w:val="single" w:sz="4" w:space="4" w:color="auto"/>
        </w:pBdr>
        <w:ind w:right="43"/>
        <w:rPr>
          <w:rFonts w:cs="Arial"/>
          <w:bCs/>
        </w:rPr>
      </w:pPr>
      <w:r w:rsidRPr="005D4E41">
        <w:rPr>
          <w:rFonts w:cs="Arial"/>
          <w:b/>
          <w:bCs/>
        </w:rPr>
        <w:t>Policy Framework:</w:t>
      </w:r>
      <w:r w:rsidR="00124DA8" w:rsidRPr="005D4E41">
        <w:rPr>
          <w:rFonts w:cs="Arial"/>
          <w:bCs/>
        </w:rPr>
        <w:tab/>
      </w:r>
      <w:r w:rsidR="00124DA8" w:rsidRPr="005D4E41">
        <w:rPr>
          <w:rFonts w:cs="Arial"/>
          <w:bCs/>
        </w:rPr>
        <w:tab/>
      </w:r>
      <w:r w:rsidRPr="005D4E41">
        <w:rPr>
          <w:rFonts w:cs="Arial"/>
          <w:bCs/>
        </w:rPr>
        <w:t>Budget</w:t>
      </w:r>
    </w:p>
    <w:p w:rsidR="005D4E41" w:rsidRPr="005D4E41" w:rsidRDefault="005D4E41" w:rsidP="005D4E41">
      <w:pPr>
        <w:pBdr>
          <w:top w:val="single" w:sz="4" w:space="1" w:color="auto"/>
          <w:left w:val="single" w:sz="4" w:space="4" w:color="auto"/>
          <w:bottom w:val="single" w:sz="4" w:space="1" w:color="auto"/>
          <w:right w:val="single" w:sz="4" w:space="4" w:color="auto"/>
        </w:pBdr>
        <w:ind w:right="43"/>
        <w:rPr>
          <w:rFonts w:cs="Arial"/>
          <w:bCs/>
        </w:rPr>
      </w:pPr>
    </w:p>
    <w:p w:rsidR="00840506" w:rsidRPr="005D4E41" w:rsidRDefault="00840506" w:rsidP="00944B7D">
      <w:pPr>
        <w:pBdr>
          <w:top w:val="single" w:sz="4" w:space="1" w:color="auto"/>
          <w:left w:val="single" w:sz="4" w:space="4" w:color="auto"/>
          <w:bottom w:val="single" w:sz="4" w:space="1" w:color="auto"/>
          <w:right w:val="single" w:sz="4" w:space="4" w:color="auto"/>
        </w:pBdr>
        <w:ind w:left="2835" w:right="43" w:hanging="2835"/>
        <w:rPr>
          <w:rFonts w:cs="Arial"/>
          <w:b/>
        </w:rPr>
      </w:pPr>
      <w:r w:rsidRPr="005D4E41">
        <w:rPr>
          <w:rFonts w:cs="Arial"/>
          <w:b/>
        </w:rPr>
        <w:t xml:space="preserve">Recommendation(s): </w:t>
      </w:r>
      <w:r w:rsidRPr="005D4E41">
        <w:rPr>
          <w:rFonts w:cs="Arial"/>
          <w:b/>
        </w:rPr>
        <w:tab/>
      </w:r>
      <w:r w:rsidR="000675A5" w:rsidRPr="005D4E41">
        <w:rPr>
          <w:rFonts w:cs="Arial"/>
        </w:rPr>
        <w:t xml:space="preserve">That members note the </w:t>
      </w:r>
      <w:r w:rsidR="00FD1F36" w:rsidRPr="005D4E41">
        <w:rPr>
          <w:rFonts w:cs="Arial"/>
        </w:rPr>
        <w:t>appointment of the Internal Auditors</w:t>
      </w:r>
    </w:p>
    <w:p w:rsidR="00840506" w:rsidRPr="005D4E41" w:rsidRDefault="00840506" w:rsidP="00547E28">
      <w:pPr>
        <w:pBdr>
          <w:top w:val="single" w:sz="4" w:space="1" w:color="auto"/>
          <w:left w:val="single" w:sz="4" w:space="4" w:color="auto"/>
          <w:bottom w:val="single" w:sz="4" w:space="1" w:color="auto"/>
          <w:right w:val="single" w:sz="4" w:space="4" w:color="auto"/>
        </w:pBdr>
        <w:tabs>
          <w:tab w:val="left" w:pos="3048"/>
        </w:tabs>
        <w:ind w:right="43"/>
        <w:rPr>
          <w:rFonts w:cs="Arial"/>
          <w:b/>
        </w:rPr>
      </w:pPr>
    </w:p>
    <w:p w:rsidR="00823151" w:rsidRPr="005D4E41" w:rsidRDefault="00823151" w:rsidP="00547E28">
      <w:pPr>
        <w:ind w:right="43"/>
        <w:rPr>
          <w:rFonts w:cs="Arial"/>
          <w:b/>
        </w:rPr>
      </w:pPr>
    </w:p>
    <w:p w:rsidR="007906D6" w:rsidRPr="005D4E41" w:rsidRDefault="00823151" w:rsidP="005D4E41">
      <w:pPr>
        <w:pStyle w:val="Heading1"/>
      </w:pPr>
      <w:r w:rsidRPr="005D4E41">
        <w:t xml:space="preserve">Introduction </w:t>
      </w:r>
    </w:p>
    <w:p w:rsidR="007906D6" w:rsidRPr="005D4E41" w:rsidRDefault="007906D6" w:rsidP="005D4E41">
      <w:pPr>
        <w:pStyle w:val="Heading1"/>
      </w:pPr>
      <w:r w:rsidRPr="005D4E41">
        <w:t>Summary / Background</w:t>
      </w:r>
    </w:p>
    <w:p w:rsidR="00AF7A47" w:rsidRPr="005D4E41" w:rsidRDefault="00AF7A47" w:rsidP="00AF7A47">
      <w:pPr>
        <w:pStyle w:val="ListParagraph"/>
        <w:numPr>
          <w:ilvl w:val="0"/>
          <w:numId w:val="30"/>
        </w:numPr>
        <w:tabs>
          <w:tab w:val="left" w:pos="567"/>
        </w:tabs>
        <w:ind w:left="567" w:hanging="567"/>
        <w:rPr>
          <w:rFonts w:cs="Arial"/>
        </w:rPr>
      </w:pPr>
      <w:r w:rsidRPr="005D4E41">
        <w:rPr>
          <w:rFonts w:cs="Arial"/>
        </w:rPr>
        <w:t xml:space="preserve">Section 5 of the </w:t>
      </w:r>
      <w:r w:rsidRPr="005D4E41">
        <w:rPr>
          <w:rFonts w:cs="Arial"/>
          <w:i/>
          <w:lang w:eastAsia="en-GB"/>
        </w:rPr>
        <w:t>Accounts &amp; Audit (England)</w:t>
      </w:r>
      <w:r w:rsidR="005D4E41">
        <w:rPr>
          <w:rFonts w:cs="Arial"/>
          <w:i/>
          <w:lang w:eastAsia="en-GB"/>
        </w:rPr>
        <w:t xml:space="preserve"> </w:t>
      </w:r>
      <w:r w:rsidRPr="005D4E41">
        <w:rPr>
          <w:rFonts w:cs="Arial"/>
          <w:i/>
          <w:lang w:eastAsia="en-GB"/>
        </w:rPr>
        <w:t xml:space="preserve">Regulations (2015) </w:t>
      </w:r>
      <w:r w:rsidRPr="005D4E41">
        <w:rPr>
          <w:rFonts w:cs="Arial"/>
          <w:lang w:eastAsia="en-GB"/>
        </w:rPr>
        <w:t xml:space="preserve">requires the Council </w:t>
      </w:r>
      <w:r w:rsidRPr="005D4E41">
        <w:rPr>
          <w:rFonts w:cs="Arial"/>
        </w:rPr>
        <w:t xml:space="preserve">to "undertake an adequate and effective internal audit of its accounting records and of its system of internal control in accordance with proper practices in relation to internal </w:t>
      </w:r>
      <w:r w:rsidRPr="005D4E41">
        <w:rPr>
          <w:rFonts w:cs="Arial"/>
          <w:color w:val="000000"/>
        </w:rPr>
        <w:t>control</w:t>
      </w:r>
      <w:r w:rsidR="00D57B4D" w:rsidRPr="005D4E41">
        <w:rPr>
          <w:rFonts w:cs="Arial"/>
        </w:rPr>
        <w:t xml:space="preserve">.  Whilst not a statutory requirement for our wholly owned companies </w:t>
      </w:r>
      <w:r w:rsidRPr="005D4E41">
        <w:rPr>
          <w:rFonts w:cs="Arial"/>
        </w:rPr>
        <w:t xml:space="preserve">it is considered good practice </w:t>
      </w:r>
      <w:r w:rsidR="00D57B4D" w:rsidRPr="005D4E41">
        <w:rPr>
          <w:rFonts w:cs="Arial"/>
        </w:rPr>
        <w:t>to have an internal audit function to give assurance on the operation of financial controls and governance within them and something which the shareholders would deem desirable.</w:t>
      </w:r>
      <w:r w:rsidRPr="005D4E41">
        <w:rPr>
          <w:rFonts w:cs="Arial"/>
        </w:rPr>
        <w:t xml:space="preserve"> The Financial Reporting Council (</w:t>
      </w:r>
      <w:proofErr w:type="spellStart"/>
      <w:r w:rsidRPr="005D4E41">
        <w:rPr>
          <w:rFonts w:cs="Arial"/>
        </w:rPr>
        <w:t>FRC</w:t>
      </w:r>
      <w:proofErr w:type="spellEnd"/>
      <w:r w:rsidRPr="005D4E41">
        <w:rPr>
          <w:rFonts w:cs="Arial"/>
        </w:rPr>
        <w:t>) also recommends that an independent internal audit function is in place to provide an independent assessment of the company internal controls to give assurance that they are operating effectively.</w:t>
      </w:r>
      <w:r w:rsidRPr="005D4E41" w:rsidDel="003B58D4">
        <w:rPr>
          <w:rFonts w:cs="Arial"/>
        </w:rPr>
        <w:t xml:space="preserve"> </w:t>
      </w:r>
    </w:p>
    <w:p w:rsidR="00AF7A47" w:rsidRPr="005D4E41" w:rsidRDefault="00AF7A47" w:rsidP="00AF7A47">
      <w:pPr>
        <w:pStyle w:val="ListParagraph"/>
        <w:tabs>
          <w:tab w:val="left" w:pos="0"/>
          <w:tab w:val="left" w:pos="567"/>
        </w:tabs>
        <w:ind w:left="567"/>
        <w:rPr>
          <w:rFonts w:cs="Arial"/>
        </w:rPr>
      </w:pPr>
    </w:p>
    <w:p w:rsidR="00D57B4D" w:rsidRPr="005D4E41" w:rsidRDefault="00D57B4D" w:rsidP="00AF7A47">
      <w:pPr>
        <w:pStyle w:val="ListParagraph"/>
        <w:numPr>
          <w:ilvl w:val="0"/>
          <w:numId w:val="30"/>
        </w:numPr>
        <w:tabs>
          <w:tab w:val="left" w:pos="0"/>
          <w:tab w:val="left" w:pos="567"/>
        </w:tabs>
        <w:ind w:left="567" w:hanging="567"/>
        <w:rPr>
          <w:rFonts w:cs="Arial"/>
        </w:rPr>
      </w:pPr>
      <w:r w:rsidRPr="005D4E41">
        <w:rPr>
          <w:rFonts w:cs="Arial"/>
        </w:rPr>
        <w:t>Oxford Direct Services Limited, (</w:t>
      </w:r>
      <w:proofErr w:type="spellStart"/>
      <w:r w:rsidRPr="005D4E41">
        <w:rPr>
          <w:rFonts w:cs="Arial"/>
        </w:rPr>
        <w:t>ODSL</w:t>
      </w:r>
      <w:proofErr w:type="spellEnd"/>
      <w:r w:rsidRPr="005D4E41">
        <w:rPr>
          <w:rFonts w:cs="Arial"/>
        </w:rPr>
        <w:t>), have established an audit committee to oversee this function and the internal auditor reports to the committee accordingly based on an agreed audit plan. Oxford City Housing Limited, (</w:t>
      </w:r>
      <w:proofErr w:type="spellStart"/>
      <w:r w:rsidRPr="005D4E41">
        <w:rPr>
          <w:rFonts w:cs="Arial"/>
        </w:rPr>
        <w:t>OCHL</w:t>
      </w:r>
      <w:proofErr w:type="spellEnd"/>
      <w:r w:rsidRPr="005D4E41">
        <w:rPr>
          <w:rFonts w:cs="Arial"/>
        </w:rPr>
        <w:t xml:space="preserve">), have expressed an interest to establish a similar function </w:t>
      </w:r>
      <w:r w:rsidR="00AF7A47" w:rsidRPr="005D4E41">
        <w:rPr>
          <w:rFonts w:cs="Arial"/>
        </w:rPr>
        <w:t xml:space="preserve">which </w:t>
      </w:r>
      <w:r w:rsidRPr="005D4E41">
        <w:rPr>
          <w:rFonts w:cs="Arial"/>
        </w:rPr>
        <w:t xml:space="preserve">would report to </w:t>
      </w:r>
      <w:proofErr w:type="spellStart"/>
      <w:r w:rsidRPr="005D4E41">
        <w:rPr>
          <w:rFonts w:cs="Arial"/>
        </w:rPr>
        <w:t>OCHL</w:t>
      </w:r>
      <w:proofErr w:type="spellEnd"/>
      <w:r w:rsidRPr="005D4E41">
        <w:rPr>
          <w:rFonts w:cs="Arial"/>
        </w:rPr>
        <w:t xml:space="preserve"> Board and </w:t>
      </w:r>
      <w:r w:rsidR="00AF7A47" w:rsidRPr="005D4E41">
        <w:rPr>
          <w:rFonts w:cs="Arial"/>
        </w:rPr>
        <w:t>their audit requirements have been incorporated into this tender for audit services</w:t>
      </w:r>
      <w:r w:rsidRPr="005D4E41">
        <w:rPr>
          <w:rFonts w:cs="Arial"/>
        </w:rPr>
        <w:t xml:space="preserve">.  </w:t>
      </w:r>
    </w:p>
    <w:p w:rsidR="00AF7A47" w:rsidRPr="005D4E41" w:rsidRDefault="00AF7A47" w:rsidP="00AF7A47">
      <w:pPr>
        <w:pStyle w:val="ListParagraph"/>
        <w:tabs>
          <w:tab w:val="left" w:pos="0"/>
          <w:tab w:val="left" w:pos="567"/>
        </w:tabs>
        <w:ind w:left="567"/>
        <w:rPr>
          <w:rFonts w:cs="Arial"/>
        </w:rPr>
      </w:pPr>
    </w:p>
    <w:p w:rsidR="007906D6" w:rsidRPr="005D4E41" w:rsidRDefault="007906D6" w:rsidP="00D57B4D">
      <w:pPr>
        <w:pStyle w:val="ListParagraph"/>
        <w:numPr>
          <w:ilvl w:val="0"/>
          <w:numId w:val="30"/>
        </w:numPr>
        <w:tabs>
          <w:tab w:val="left" w:pos="567"/>
        </w:tabs>
        <w:ind w:left="567" w:hanging="567"/>
        <w:rPr>
          <w:rFonts w:cs="Arial"/>
        </w:rPr>
      </w:pPr>
      <w:r w:rsidRPr="005D4E41">
        <w:rPr>
          <w:rFonts w:cs="Arial"/>
        </w:rPr>
        <w:t xml:space="preserve">The current internal audit contract with </w:t>
      </w:r>
      <w:proofErr w:type="spellStart"/>
      <w:r w:rsidRPr="005D4E41">
        <w:rPr>
          <w:rFonts w:cs="Arial"/>
        </w:rPr>
        <w:t>BDO</w:t>
      </w:r>
      <w:proofErr w:type="spellEnd"/>
      <w:r w:rsidRPr="005D4E41">
        <w:rPr>
          <w:rFonts w:cs="Arial"/>
        </w:rPr>
        <w:t xml:space="preserve"> LLP is due to end on 31</w:t>
      </w:r>
      <w:r w:rsidRPr="005D4E41">
        <w:rPr>
          <w:rFonts w:cs="Arial"/>
          <w:vertAlign w:val="superscript"/>
        </w:rPr>
        <w:t>st</w:t>
      </w:r>
      <w:r w:rsidRPr="005D4E41">
        <w:rPr>
          <w:rFonts w:cs="Arial"/>
        </w:rPr>
        <w:t xml:space="preserve"> March 2</w:t>
      </w:r>
      <w:r w:rsidR="00AF7A47" w:rsidRPr="005D4E41">
        <w:rPr>
          <w:rFonts w:cs="Arial"/>
        </w:rPr>
        <w:t>021 after a period of 5 years and this report provides information on the results of the recent tender for audit services.</w:t>
      </w:r>
    </w:p>
    <w:p w:rsidR="007906D6" w:rsidRPr="005D4E41" w:rsidRDefault="007906D6" w:rsidP="007906D6">
      <w:pPr>
        <w:pStyle w:val="ListParagraph"/>
        <w:tabs>
          <w:tab w:val="left" w:pos="567"/>
        </w:tabs>
        <w:ind w:left="567" w:hanging="567"/>
        <w:rPr>
          <w:rFonts w:cs="Arial"/>
        </w:rPr>
      </w:pPr>
    </w:p>
    <w:p w:rsidR="007906D6" w:rsidRPr="005D4E41" w:rsidRDefault="00A87D42" w:rsidP="007906D6">
      <w:pPr>
        <w:pStyle w:val="ListParagraph"/>
        <w:numPr>
          <w:ilvl w:val="0"/>
          <w:numId w:val="30"/>
        </w:numPr>
        <w:tabs>
          <w:tab w:val="left" w:pos="567"/>
        </w:tabs>
        <w:ind w:left="567" w:hanging="567"/>
        <w:rPr>
          <w:rFonts w:cs="Arial"/>
        </w:rPr>
      </w:pPr>
      <w:r w:rsidRPr="005D4E41">
        <w:rPr>
          <w:rFonts w:cs="Arial"/>
        </w:rPr>
        <w:t xml:space="preserve">The initial </w:t>
      </w:r>
      <w:r w:rsidR="00AF7A47" w:rsidRPr="005D4E41">
        <w:rPr>
          <w:rFonts w:cs="Arial"/>
        </w:rPr>
        <w:t xml:space="preserve">audit </w:t>
      </w:r>
      <w:r w:rsidR="007D19FA" w:rsidRPr="005D4E41">
        <w:rPr>
          <w:rFonts w:cs="Arial"/>
        </w:rPr>
        <w:t xml:space="preserve">contract </w:t>
      </w:r>
      <w:r w:rsidR="00AF7A47" w:rsidRPr="005D4E41">
        <w:rPr>
          <w:rFonts w:cs="Arial"/>
        </w:rPr>
        <w:t xml:space="preserve">with the Council provided for </w:t>
      </w:r>
      <w:r w:rsidR="007D19FA" w:rsidRPr="005D4E41">
        <w:rPr>
          <w:rFonts w:cs="Arial"/>
        </w:rPr>
        <w:t>21</w:t>
      </w:r>
      <w:r w:rsidRPr="005D4E41">
        <w:rPr>
          <w:rFonts w:cs="Arial"/>
        </w:rPr>
        <w:t xml:space="preserve">0 days </w:t>
      </w:r>
      <w:r w:rsidR="00D57B4D" w:rsidRPr="005D4E41">
        <w:rPr>
          <w:rFonts w:cs="Arial"/>
        </w:rPr>
        <w:t xml:space="preserve">per annum Following the establishment of </w:t>
      </w:r>
      <w:proofErr w:type="spellStart"/>
      <w:r w:rsidR="00D57B4D" w:rsidRPr="005D4E41">
        <w:rPr>
          <w:rFonts w:cs="Arial"/>
        </w:rPr>
        <w:t>ODSL</w:t>
      </w:r>
      <w:proofErr w:type="spellEnd"/>
      <w:r w:rsidR="00D57B4D" w:rsidRPr="005D4E41">
        <w:rPr>
          <w:rFonts w:cs="Arial"/>
        </w:rPr>
        <w:t xml:space="preserve"> 25 days undertaken previously for Direct Services were allocated to the company audit</w:t>
      </w:r>
      <w:r w:rsidR="00384D2B" w:rsidRPr="005D4E41">
        <w:rPr>
          <w:rFonts w:cs="Arial"/>
        </w:rPr>
        <w:t>,</w:t>
      </w:r>
      <w:r w:rsidR="00D57B4D" w:rsidRPr="005D4E41">
        <w:rPr>
          <w:rFonts w:cs="Arial"/>
        </w:rPr>
        <w:t xml:space="preserve"> leaving the balance of </w:t>
      </w:r>
      <w:r w:rsidR="00384D2B" w:rsidRPr="005D4E41">
        <w:rPr>
          <w:rFonts w:cs="Arial"/>
        </w:rPr>
        <w:t>185</w:t>
      </w:r>
      <w:r w:rsidR="001F72AA" w:rsidRPr="005D4E41">
        <w:rPr>
          <w:rFonts w:cs="Arial"/>
        </w:rPr>
        <w:t xml:space="preserve"> audit days </w:t>
      </w:r>
      <w:r w:rsidR="007906D6" w:rsidRPr="005D4E41">
        <w:rPr>
          <w:rFonts w:cs="Arial"/>
        </w:rPr>
        <w:t>in the plan</w:t>
      </w:r>
      <w:r w:rsidRPr="005D4E41">
        <w:rPr>
          <w:rFonts w:cs="Arial"/>
        </w:rPr>
        <w:t xml:space="preserve"> </w:t>
      </w:r>
      <w:r w:rsidR="007906D6" w:rsidRPr="005D4E41">
        <w:rPr>
          <w:rFonts w:cs="Arial"/>
        </w:rPr>
        <w:t xml:space="preserve">to cover the audits for the </w:t>
      </w:r>
      <w:proofErr w:type="gramStart"/>
      <w:r w:rsidR="007906D6" w:rsidRPr="005D4E41">
        <w:rPr>
          <w:rFonts w:cs="Arial"/>
        </w:rPr>
        <w:t>Council .</w:t>
      </w:r>
      <w:proofErr w:type="gramEnd"/>
      <w:r w:rsidR="001F72AA" w:rsidRPr="005D4E41">
        <w:rPr>
          <w:rFonts w:cs="Arial"/>
        </w:rPr>
        <w:t xml:space="preserve">  </w:t>
      </w:r>
      <w:r w:rsidRPr="005D4E41">
        <w:rPr>
          <w:rFonts w:cs="Arial"/>
        </w:rPr>
        <w:t>Currently</w:t>
      </w:r>
      <w:r w:rsidR="007906D6" w:rsidRPr="005D4E41">
        <w:rPr>
          <w:rFonts w:cs="Arial"/>
        </w:rPr>
        <w:t xml:space="preserve"> </w:t>
      </w:r>
      <w:proofErr w:type="spellStart"/>
      <w:r w:rsidR="007906D6" w:rsidRPr="005D4E41">
        <w:rPr>
          <w:rFonts w:cs="Arial"/>
        </w:rPr>
        <w:t>OCHL</w:t>
      </w:r>
      <w:proofErr w:type="spellEnd"/>
      <w:r w:rsidR="007906D6" w:rsidRPr="005D4E41">
        <w:rPr>
          <w:rFonts w:cs="Arial"/>
        </w:rPr>
        <w:t xml:space="preserve"> do not have any audit days assigned under the current contract</w:t>
      </w:r>
      <w:r w:rsidR="001F72AA" w:rsidRPr="005D4E41">
        <w:rPr>
          <w:rFonts w:cs="Arial"/>
        </w:rPr>
        <w:t xml:space="preserve"> </w:t>
      </w:r>
      <w:r w:rsidR="00D57B4D" w:rsidRPr="005D4E41">
        <w:rPr>
          <w:rFonts w:cs="Arial"/>
        </w:rPr>
        <w:t>although this will now be incorporated into the new contract.</w:t>
      </w:r>
      <w:r w:rsidR="007906D6" w:rsidRPr="005D4E41">
        <w:rPr>
          <w:rFonts w:cs="Arial"/>
        </w:rPr>
        <w:t xml:space="preserve">  </w:t>
      </w:r>
    </w:p>
    <w:p w:rsidR="00A87D42" w:rsidRPr="005D4E41" w:rsidRDefault="00A87D42" w:rsidP="00A87D42">
      <w:pPr>
        <w:pStyle w:val="ListParagraph"/>
        <w:rPr>
          <w:rFonts w:cs="Arial"/>
        </w:rPr>
      </w:pPr>
    </w:p>
    <w:p w:rsidR="00A87D42" w:rsidRPr="005D4E41" w:rsidRDefault="00A87D42" w:rsidP="005D4E41">
      <w:pPr>
        <w:pStyle w:val="Heading1"/>
      </w:pPr>
      <w:r w:rsidRPr="005D4E41">
        <w:t>Tender process</w:t>
      </w:r>
    </w:p>
    <w:p w:rsidR="00A87D42" w:rsidRPr="005D4E41" w:rsidRDefault="00A87D42" w:rsidP="00D57B4D">
      <w:pPr>
        <w:pStyle w:val="ListParagraph"/>
        <w:numPr>
          <w:ilvl w:val="0"/>
          <w:numId w:val="30"/>
        </w:numPr>
        <w:tabs>
          <w:tab w:val="left" w:pos="567"/>
        </w:tabs>
        <w:ind w:left="567" w:hanging="567"/>
        <w:rPr>
          <w:rFonts w:cs="Arial"/>
        </w:rPr>
      </w:pPr>
      <w:r w:rsidRPr="005D4E41">
        <w:rPr>
          <w:rFonts w:cs="Arial"/>
        </w:rPr>
        <w:t>Following a review of possible options a mini competition was run under the Crown Commercial Framework RM3745 – specifically Lot 3</w:t>
      </w:r>
      <w:r w:rsidR="004B06D4" w:rsidRPr="005D4E41">
        <w:rPr>
          <w:rFonts w:cs="Arial"/>
        </w:rPr>
        <w:t>.</w:t>
      </w:r>
    </w:p>
    <w:p w:rsidR="004B06D4" w:rsidRPr="005D4E41" w:rsidRDefault="004B06D4" w:rsidP="004B06D4">
      <w:pPr>
        <w:pStyle w:val="ListParagraph"/>
        <w:tabs>
          <w:tab w:val="left" w:pos="567"/>
        </w:tabs>
        <w:ind w:left="567"/>
        <w:rPr>
          <w:rFonts w:cs="Arial"/>
        </w:rPr>
      </w:pPr>
    </w:p>
    <w:p w:rsidR="00A87D42" w:rsidRPr="005D4E41" w:rsidRDefault="00A87D42" w:rsidP="00D57B4D">
      <w:pPr>
        <w:pStyle w:val="ListParagraph"/>
        <w:numPr>
          <w:ilvl w:val="0"/>
          <w:numId w:val="30"/>
        </w:numPr>
        <w:tabs>
          <w:tab w:val="left" w:pos="567"/>
        </w:tabs>
        <w:ind w:left="567" w:hanging="567"/>
        <w:rPr>
          <w:rFonts w:cs="Arial"/>
        </w:rPr>
      </w:pPr>
      <w:r w:rsidRPr="005D4E41">
        <w:rPr>
          <w:rFonts w:cs="Arial"/>
        </w:rPr>
        <w:t xml:space="preserve">All 20 suppliers </w:t>
      </w:r>
      <w:r w:rsidR="00C85DB1" w:rsidRPr="005D4E41">
        <w:rPr>
          <w:rFonts w:cs="Arial"/>
        </w:rPr>
        <w:t xml:space="preserve">on the framework </w:t>
      </w:r>
      <w:r w:rsidRPr="005D4E41">
        <w:rPr>
          <w:rFonts w:cs="Arial"/>
        </w:rPr>
        <w:t>within Lot 3 were invited to submit a bid.  The opportunity was published on the Council’s portal on the 27</w:t>
      </w:r>
      <w:r w:rsidRPr="005D4E41">
        <w:rPr>
          <w:rFonts w:cs="Arial"/>
          <w:vertAlign w:val="superscript"/>
        </w:rPr>
        <w:t>th</w:t>
      </w:r>
      <w:r w:rsidRPr="005D4E41">
        <w:rPr>
          <w:rFonts w:cs="Arial"/>
        </w:rPr>
        <w:t xml:space="preserve"> January 2021 with a response date of 16</w:t>
      </w:r>
      <w:r w:rsidRPr="005D4E41">
        <w:rPr>
          <w:rFonts w:cs="Arial"/>
          <w:vertAlign w:val="superscript"/>
        </w:rPr>
        <w:t>th</w:t>
      </w:r>
      <w:r w:rsidRPr="005D4E41">
        <w:rPr>
          <w:rFonts w:cs="Arial"/>
        </w:rPr>
        <w:t xml:space="preserve"> February 2021.  </w:t>
      </w:r>
    </w:p>
    <w:p w:rsidR="004B06D4" w:rsidRPr="005D4E41" w:rsidRDefault="004B06D4" w:rsidP="004B06D4">
      <w:pPr>
        <w:tabs>
          <w:tab w:val="left" w:pos="567"/>
        </w:tabs>
        <w:rPr>
          <w:rFonts w:cs="Arial"/>
        </w:rPr>
      </w:pPr>
    </w:p>
    <w:p w:rsidR="00A87D42" w:rsidRPr="005D4E41" w:rsidRDefault="00A87D42" w:rsidP="00D57B4D">
      <w:pPr>
        <w:pStyle w:val="ListParagraph"/>
        <w:numPr>
          <w:ilvl w:val="0"/>
          <w:numId w:val="30"/>
        </w:numPr>
        <w:tabs>
          <w:tab w:val="left" w:pos="567"/>
        </w:tabs>
        <w:ind w:left="567" w:hanging="567"/>
        <w:rPr>
          <w:rFonts w:cs="Arial"/>
        </w:rPr>
      </w:pPr>
      <w:r w:rsidRPr="005D4E41">
        <w:rPr>
          <w:rFonts w:cs="Arial"/>
        </w:rPr>
        <w:t>The mini competition documents included background on Oxford City Council and its wholly owned companies, and was divided into three sections:</w:t>
      </w:r>
    </w:p>
    <w:p w:rsidR="00A87D42" w:rsidRPr="005D4E41" w:rsidRDefault="00A87D42" w:rsidP="005D4E41">
      <w:pPr>
        <w:pStyle w:val="ListParagraph"/>
        <w:numPr>
          <w:ilvl w:val="0"/>
          <w:numId w:val="32"/>
        </w:numPr>
        <w:tabs>
          <w:tab w:val="left" w:pos="567"/>
        </w:tabs>
        <w:rPr>
          <w:rFonts w:cs="Arial"/>
        </w:rPr>
      </w:pPr>
      <w:r w:rsidRPr="005D4E41">
        <w:rPr>
          <w:rFonts w:cs="Arial"/>
        </w:rPr>
        <w:t>Section 1 – standard qualifications qualification (although most of this was undertaken by Crown Commercial Services) the Council marked the returns as a pass or fail on the basis of receiving the submission by the deadline, all relevant questions having been answered, financial standing (Experian check), insurance, modern slavery, IR35 and declarations signed.</w:t>
      </w:r>
    </w:p>
    <w:p w:rsidR="00A87D42" w:rsidRPr="005D4E41" w:rsidRDefault="00C85DB1" w:rsidP="005D4E41">
      <w:pPr>
        <w:pStyle w:val="ListParagraph"/>
        <w:numPr>
          <w:ilvl w:val="0"/>
          <w:numId w:val="32"/>
        </w:numPr>
        <w:tabs>
          <w:tab w:val="left" w:pos="567"/>
        </w:tabs>
        <w:rPr>
          <w:rFonts w:cs="Arial"/>
        </w:rPr>
      </w:pPr>
      <w:r w:rsidRPr="005D4E41">
        <w:rPr>
          <w:rFonts w:cs="Arial"/>
        </w:rPr>
        <w:t>Section</w:t>
      </w:r>
      <w:r w:rsidR="00A87D42" w:rsidRPr="005D4E41">
        <w:rPr>
          <w:rFonts w:cs="Arial"/>
        </w:rPr>
        <w:t xml:space="preserve"> 2 – 12 questions related to the provision of Internal Audit Services, a 70% weighting was available for the </w:t>
      </w:r>
      <w:r w:rsidRPr="005D4E41">
        <w:rPr>
          <w:rFonts w:cs="Arial"/>
        </w:rPr>
        <w:t>quality</w:t>
      </w:r>
      <w:r w:rsidR="00A87D42" w:rsidRPr="005D4E41">
        <w:rPr>
          <w:rFonts w:cs="Arial"/>
        </w:rPr>
        <w:t xml:space="preserve"> questions and a 30% weighting for the cost submission</w:t>
      </w:r>
    </w:p>
    <w:p w:rsidR="00A87D42" w:rsidRPr="005D4E41" w:rsidRDefault="00A87D42" w:rsidP="005D4E41">
      <w:pPr>
        <w:pStyle w:val="ListParagraph"/>
        <w:numPr>
          <w:ilvl w:val="0"/>
          <w:numId w:val="32"/>
        </w:numPr>
        <w:tabs>
          <w:tab w:val="left" w:pos="567"/>
        </w:tabs>
        <w:rPr>
          <w:rFonts w:cs="Arial"/>
        </w:rPr>
      </w:pPr>
      <w:r w:rsidRPr="005D4E41">
        <w:rPr>
          <w:rFonts w:cs="Arial"/>
        </w:rPr>
        <w:t xml:space="preserve">Section 3 – Interviews were not scored but </w:t>
      </w:r>
      <w:r w:rsidR="00C85DB1" w:rsidRPr="005D4E41">
        <w:rPr>
          <w:rFonts w:cs="Arial"/>
        </w:rPr>
        <w:t xml:space="preserve">were </w:t>
      </w:r>
      <w:r w:rsidRPr="005D4E41">
        <w:rPr>
          <w:rFonts w:cs="Arial"/>
        </w:rPr>
        <w:t xml:space="preserve">used to clarify areas </w:t>
      </w:r>
      <w:r w:rsidR="00C85DB1" w:rsidRPr="005D4E41">
        <w:rPr>
          <w:rFonts w:cs="Arial"/>
        </w:rPr>
        <w:t>of the bid</w:t>
      </w:r>
    </w:p>
    <w:p w:rsidR="00A87D42" w:rsidRPr="005D4E41" w:rsidRDefault="00A87D42" w:rsidP="00A87D42">
      <w:pPr>
        <w:pStyle w:val="ListParagraph"/>
        <w:tabs>
          <w:tab w:val="left" w:pos="567"/>
        </w:tabs>
        <w:ind w:left="2340"/>
        <w:rPr>
          <w:rFonts w:cs="Arial"/>
        </w:rPr>
      </w:pPr>
    </w:p>
    <w:p w:rsidR="00A87D42" w:rsidRPr="005D4E41" w:rsidRDefault="00A87D42" w:rsidP="00D57B4D">
      <w:pPr>
        <w:pStyle w:val="ListParagraph"/>
        <w:numPr>
          <w:ilvl w:val="0"/>
          <w:numId w:val="30"/>
        </w:numPr>
        <w:tabs>
          <w:tab w:val="left" w:pos="567"/>
        </w:tabs>
        <w:ind w:left="567" w:hanging="567"/>
        <w:rPr>
          <w:rFonts w:cs="Arial"/>
        </w:rPr>
      </w:pPr>
      <w:r w:rsidRPr="005D4E41">
        <w:rPr>
          <w:rFonts w:cs="Arial"/>
        </w:rPr>
        <w:t>There were three compliant bids received by the deadline:</w:t>
      </w:r>
    </w:p>
    <w:p w:rsidR="004B06D4" w:rsidRPr="005D4E41" w:rsidRDefault="004B06D4" w:rsidP="005D4E41">
      <w:pPr>
        <w:pStyle w:val="ListParagraph"/>
        <w:numPr>
          <w:ilvl w:val="0"/>
          <w:numId w:val="33"/>
        </w:numPr>
        <w:tabs>
          <w:tab w:val="left" w:pos="567"/>
        </w:tabs>
        <w:rPr>
          <w:rFonts w:cs="Arial"/>
        </w:rPr>
      </w:pPr>
      <w:proofErr w:type="spellStart"/>
      <w:r w:rsidRPr="005D4E41">
        <w:rPr>
          <w:rFonts w:cs="Arial"/>
        </w:rPr>
        <w:t>Ankura</w:t>
      </w:r>
      <w:proofErr w:type="spellEnd"/>
    </w:p>
    <w:p w:rsidR="004B06D4" w:rsidRPr="005D4E41" w:rsidRDefault="004B06D4" w:rsidP="005D4E41">
      <w:pPr>
        <w:pStyle w:val="ListParagraph"/>
        <w:numPr>
          <w:ilvl w:val="0"/>
          <w:numId w:val="33"/>
        </w:numPr>
        <w:tabs>
          <w:tab w:val="left" w:pos="567"/>
        </w:tabs>
        <w:rPr>
          <w:rFonts w:cs="Arial"/>
        </w:rPr>
      </w:pPr>
      <w:proofErr w:type="spellStart"/>
      <w:r w:rsidRPr="005D4E41">
        <w:rPr>
          <w:rFonts w:cs="Arial"/>
        </w:rPr>
        <w:t>BDO</w:t>
      </w:r>
      <w:proofErr w:type="spellEnd"/>
      <w:r w:rsidRPr="005D4E41">
        <w:rPr>
          <w:rFonts w:cs="Arial"/>
        </w:rPr>
        <w:t xml:space="preserve"> LLP</w:t>
      </w:r>
    </w:p>
    <w:p w:rsidR="004B06D4" w:rsidRPr="005D4E41" w:rsidRDefault="004B06D4" w:rsidP="005D4E41">
      <w:pPr>
        <w:pStyle w:val="ListParagraph"/>
        <w:numPr>
          <w:ilvl w:val="0"/>
          <w:numId w:val="33"/>
        </w:numPr>
        <w:tabs>
          <w:tab w:val="left" w:pos="567"/>
        </w:tabs>
        <w:rPr>
          <w:rFonts w:cs="Arial"/>
        </w:rPr>
      </w:pPr>
      <w:r w:rsidRPr="005D4E41">
        <w:rPr>
          <w:rFonts w:cs="Arial"/>
        </w:rPr>
        <w:t>KPMG</w:t>
      </w:r>
    </w:p>
    <w:p w:rsidR="004B06D4" w:rsidRPr="005D4E41" w:rsidRDefault="004B06D4" w:rsidP="004B06D4">
      <w:pPr>
        <w:pStyle w:val="ListParagraph"/>
        <w:tabs>
          <w:tab w:val="left" w:pos="567"/>
        </w:tabs>
        <w:ind w:left="2340"/>
        <w:rPr>
          <w:rFonts w:cs="Arial"/>
        </w:rPr>
      </w:pPr>
    </w:p>
    <w:p w:rsidR="004B06D4" w:rsidRPr="005D4E41" w:rsidRDefault="00A87D42" w:rsidP="005D4E41">
      <w:pPr>
        <w:pStyle w:val="Heading1"/>
      </w:pPr>
      <w:r w:rsidRPr="005D4E41">
        <w:t>Evaluation</w:t>
      </w:r>
    </w:p>
    <w:p w:rsidR="00C85DB1" w:rsidRPr="005D4E41" w:rsidRDefault="00C85DB1" w:rsidP="00D57B4D">
      <w:pPr>
        <w:pStyle w:val="ListParagraph"/>
        <w:numPr>
          <w:ilvl w:val="0"/>
          <w:numId w:val="30"/>
        </w:numPr>
        <w:tabs>
          <w:tab w:val="left" w:pos="567"/>
        </w:tabs>
        <w:ind w:left="567" w:hanging="567"/>
        <w:rPr>
          <w:rFonts w:cs="Arial"/>
        </w:rPr>
      </w:pPr>
      <w:r w:rsidRPr="005D4E41">
        <w:rPr>
          <w:rFonts w:cs="Arial"/>
        </w:rPr>
        <w:t>Led by the Procurement Manager t</w:t>
      </w:r>
      <w:r w:rsidR="004B06D4" w:rsidRPr="005D4E41">
        <w:rPr>
          <w:rFonts w:cs="Arial"/>
        </w:rPr>
        <w:t xml:space="preserve">he </w:t>
      </w:r>
      <w:r w:rsidRPr="005D4E41">
        <w:rPr>
          <w:rFonts w:cs="Arial"/>
        </w:rPr>
        <w:t>e</w:t>
      </w:r>
      <w:r w:rsidR="004B06D4" w:rsidRPr="005D4E41">
        <w:rPr>
          <w:rFonts w:cs="Arial"/>
        </w:rPr>
        <w:t xml:space="preserve">valuation panel consisted of </w:t>
      </w:r>
    </w:p>
    <w:p w:rsidR="00C85DB1" w:rsidRPr="005D4E41" w:rsidRDefault="00C85DB1" w:rsidP="00C85DB1">
      <w:pPr>
        <w:pStyle w:val="ListParagraph"/>
        <w:tabs>
          <w:tab w:val="left" w:pos="567"/>
        </w:tabs>
        <w:ind w:left="567"/>
        <w:rPr>
          <w:rFonts w:cs="Arial"/>
        </w:rPr>
      </w:pPr>
    </w:p>
    <w:p w:rsidR="00C85DB1" w:rsidRPr="005D4E41" w:rsidRDefault="00C85DB1" w:rsidP="00C85DB1">
      <w:pPr>
        <w:pStyle w:val="ListParagraph"/>
        <w:numPr>
          <w:ilvl w:val="0"/>
          <w:numId w:val="31"/>
        </w:numPr>
        <w:tabs>
          <w:tab w:val="left" w:pos="567"/>
        </w:tabs>
        <w:rPr>
          <w:rFonts w:cs="Arial"/>
        </w:rPr>
      </w:pPr>
      <w:r w:rsidRPr="005D4E41">
        <w:rPr>
          <w:rFonts w:cs="Arial"/>
        </w:rPr>
        <w:t>Head of Financial Services (Section 151 Officer)</w:t>
      </w:r>
    </w:p>
    <w:p w:rsidR="00C85DB1" w:rsidRPr="005D4E41" w:rsidRDefault="00C85DB1" w:rsidP="00C85DB1">
      <w:pPr>
        <w:pStyle w:val="ListParagraph"/>
        <w:numPr>
          <w:ilvl w:val="0"/>
          <w:numId w:val="31"/>
        </w:numPr>
        <w:tabs>
          <w:tab w:val="left" w:pos="567"/>
        </w:tabs>
        <w:rPr>
          <w:rFonts w:cs="Arial"/>
        </w:rPr>
      </w:pPr>
      <w:r w:rsidRPr="005D4E41">
        <w:rPr>
          <w:rFonts w:cs="Arial"/>
        </w:rPr>
        <w:t>Management Accountancy Manager</w:t>
      </w:r>
    </w:p>
    <w:p w:rsidR="00C85DB1" w:rsidRPr="005D4E41" w:rsidRDefault="00C85DB1" w:rsidP="00C85DB1">
      <w:pPr>
        <w:pStyle w:val="ListParagraph"/>
        <w:numPr>
          <w:ilvl w:val="0"/>
          <w:numId w:val="31"/>
        </w:numPr>
        <w:tabs>
          <w:tab w:val="left" w:pos="567"/>
        </w:tabs>
        <w:rPr>
          <w:rFonts w:cs="Arial"/>
        </w:rPr>
      </w:pPr>
      <w:r w:rsidRPr="005D4E41">
        <w:rPr>
          <w:rFonts w:cs="Arial"/>
        </w:rPr>
        <w:t>Strategic Finance Manager (</w:t>
      </w:r>
      <w:proofErr w:type="spellStart"/>
      <w:r w:rsidRPr="005D4E41">
        <w:rPr>
          <w:rFonts w:cs="Arial"/>
        </w:rPr>
        <w:t>OCHL</w:t>
      </w:r>
      <w:proofErr w:type="spellEnd"/>
      <w:r w:rsidRPr="005D4E41">
        <w:rPr>
          <w:rFonts w:cs="Arial"/>
        </w:rPr>
        <w:t>)</w:t>
      </w:r>
    </w:p>
    <w:p w:rsidR="00C85DB1" w:rsidRPr="005D4E41" w:rsidRDefault="00C85DB1" w:rsidP="00C85DB1">
      <w:pPr>
        <w:pStyle w:val="ListParagraph"/>
        <w:numPr>
          <w:ilvl w:val="0"/>
          <w:numId w:val="31"/>
        </w:numPr>
        <w:tabs>
          <w:tab w:val="left" w:pos="567"/>
        </w:tabs>
        <w:rPr>
          <w:rFonts w:cs="Arial"/>
        </w:rPr>
      </w:pPr>
      <w:r w:rsidRPr="005D4E41">
        <w:rPr>
          <w:rFonts w:cs="Arial"/>
        </w:rPr>
        <w:t>Finance Director (</w:t>
      </w:r>
      <w:proofErr w:type="spellStart"/>
      <w:r w:rsidRPr="005D4E41">
        <w:rPr>
          <w:rFonts w:cs="Arial"/>
        </w:rPr>
        <w:t>ODSL</w:t>
      </w:r>
      <w:proofErr w:type="spellEnd"/>
      <w:r w:rsidRPr="005D4E41">
        <w:rPr>
          <w:rFonts w:cs="Arial"/>
        </w:rPr>
        <w:t>)</w:t>
      </w:r>
    </w:p>
    <w:p w:rsidR="005D4E41" w:rsidRPr="005D4E41" w:rsidRDefault="005D4E41" w:rsidP="005D4E41">
      <w:pPr>
        <w:pStyle w:val="ListParagraph"/>
        <w:tabs>
          <w:tab w:val="left" w:pos="567"/>
        </w:tabs>
        <w:ind w:left="1287"/>
        <w:rPr>
          <w:rFonts w:cs="Arial"/>
        </w:rPr>
      </w:pPr>
    </w:p>
    <w:p w:rsidR="00C85DB1" w:rsidRPr="005D4E41" w:rsidRDefault="00C85DB1" w:rsidP="00C85DB1">
      <w:pPr>
        <w:pStyle w:val="ListParagraph"/>
        <w:numPr>
          <w:ilvl w:val="0"/>
          <w:numId w:val="30"/>
        </w:numPr>
        <w:tabs>
          <w:tab w:val="left" w:pos="567"/>
        </w:tabs>
        <w:ind w:left="567" w:hanging="567"/>
        <w:rPr>
          <w:rFonts w:cs="Arial"/>
        </w:rPr>
      </w:pPr>
      <w:r w:rsidRPr="005D4E41">
        <w:rPr>
          <w:rFonts w:cs="Arial"/>
        </w:rPr>
        <w:t>Each of the panel independently evaluated the three submissions and all scores and comments were</w:t>
      </w:r>
      <w:r w:rsidR="00384D2B" w:rsidRPr="005D4E41">
        <w:rPr>
          <w:rFonts w:cs="Arial"/>
        </w:rPr>
        <w:t xml:space="preserve"> </w:t>
      </w:r>
      <w:r w:rsidRPr="005D4E41">
        <w:rPr>
          <w:rFonts w:cs="Arial"/>
        </w:rPr>
        <w:t xml:space="preserve">moderated. </w:t>
      </w:r>
    </w:p>
    <w:p w:rsidR="00384D2B" w:rsidRPr="005D4E41" w:rsidRDefault="00384D2B" w:rsidP="00384D2B">
      <w:pPr>
        <w:pStyle w:val="ListParagraph"/>
        <w:tabs>
          <w:tab w:val="left" w:pos="567"/>
        </w:tabs>
        <w:ind w:left="567"/>
        <w:rPr>
          <w:rFonts w:cs="Arial"/>
        </w:rPr>
      </w:pPr>
    </w:p>
    <w:p w:rsidR="00AC48A0" w:rsidRPr="005D4E41" w:rsidRDefault="00AC48A0" w:rsidP="00D57B4D">
      <w:pPr>
        <w:pStyle w:val="ListParagraph"/>
        <w:numPr>
          <w:ilvl w:val="0"/>
          <w:numId w:val="30"/>
        </w:numPr>
        <w:tabs>
          <w:tab w:val="left" w:pos="567"/>
        </w:tabs>
        <w:ind w:left="567" w:hanging="567"/>
        <w:rPr>
          <w:rFonts w:cs="Arial"/>
        </w:rPr>
      </w:pPr>
      <w:r w:rsidRPr="005D4E41">
        <w:rPr>
          <w:rFonts w:cs="Arial"/>
        </w:rPr>
        <w:t xml:space="preserve">All three suppliers were invited to attend an </w:t>
      </w:r>
      <w:r w:rsidR="00C85DB1" w:rsidRPr="005D4E41">
        <w:rPr>
          <w:rFonts w:cs="Arial"/>
        </w:rPr>
        <w:t>a meeting</w:t>
      </w:r>
      <w:r w:rsidR="001C3433" w:rsidRPr="005D4E41">
        <w:rPr>
          <w:rFonts w:cs="Arial"/>
        </w:rPr>
        <w:t xml:space="preserve"> on Thursday 4</w:t>
      </w:r>
      <w:r w:rsidR="001C3433" w:rsidRPr="005D4E41">
        <w:rPr>
          <w:rFonts w:cs="Arial"/>
          <w:vertAlign w:val="superscript"/>
        </w:rPr>
        <w:t>th</w:t>
      </w:r>
      <w:r w:rsidR="001C3433" w:rsidRPr="005D4E41">
        <w:rPr>
          <w:rFonts w:cs="Arial"/>
        </w:rPr>
        <w:t xml:space="preserve"> March 2021, </w:t>
      </w:r>
      <w:r w:rsidR="00384D2B" w:rsidRPr="005D4E41">
        <w:rPr>
          <w:rFonts w:cs="Arial"/>
        </w:rPr>
        <w:t>to provide an</w:t>
      </w:r>
      <w:r w:rsidR="00C85DB1" w:rsidRPr="005D4E41">
        <w:rPr>
          <w:rFonts w:cs="Arial"/>
        </w:rPr>
        <w:t xml:space="preserve">y further clarification on their bids </w:t>
      </w:r>
      <w:r w:rsidR="001C3433" w:rsidRPr="005D4E41">
        <w:rPr>
          <w:rFonts w:cs="Arial"/>
        </w:rPr>
        <w:t xml:space="preserve">and following these </w:t>
      </w:r>
      <w:r w:rsidR="00A83D04" w:rsidRPr="005D4E41">
        <w:rPr>
          <w:rFonts w:cs="Arial"/>
        </w:rPr>
        <w:t xml:space="preserve">sessions </w:t>
      </w:r>
      <w:r w:rsidR="001C3433" w:rsidRPr="005D4E41">
        <w:rPr>
          <w:rFonts w:cs="Arial"/>
        </w:rPr>
        <w:t>the evaluation panel reviewed their scores with the following result for the technical element.</w:t>
      </w:r>
    </w:p>
    <w:p w:rsidR="001C3433" w:rsidRPr="005D4E41" w:rsidRDefault="001C3433" w:rsidP="001C3433">
      <w:pPr>
        <w:pStyle w:val="ListParagraph"/>
        <w:tabs>
          <w:tab w:val="left" w:pos="567"/>
        </w:tabs>
        <w:ind w:left="567"/>
        <w:rPr>
          <w:rFonts w:cs="Arial"/>
        </w:rPr>
      </w:pPr>
    </w:p>
    <w:tbl>
      <w:tblPr>
        <w:tblStyle w:val="TableGrid"/>
        <w:tblW w:w="8745" w:type="dxa"/>
        <w:tblInd w:w="279" w:type="dxa"/>
        <w:tblLook w:val="04A0" w:firstRow="1" w:lastRow="0" w:firstColumn="1" w:lastColumn="0" w:noHBand="0" w:noVBand="1"/>
      </w:tblPr>
      <w:tblGrid>
        <w:gridCol w:w="3041"/>
        <w:gridCol w:w="1376"/>
        <w:gridCol w:w="1415"/>
        <w:gridCol w:w="1414"/>
        <w:gridCol w:w="1499"/>
      </w:tblGrid>
      <w:tr w:rsidR="00D11A09" w:rsidRPr="005D4E41" w:rsidTr="00545B00">
        <w:tc>
          <w:tcPr>
            <w:tcW w:w="8745" w:type="dxa"/>
            <w:gridSpan w:val="5"/>
            <w:shd w:val="clear" w:color="auto" w:fill="A6A6A6" w:themeFill="background1" w:themeFillShade="A6"/>
          </w:tcPr>
          <w:p w:rsidR="00D11A09" w:rsidRPr="005D4E41" w:rsidRDefault="00D11A09" w:rsidP="002775CD">
            <w:pPr>
              <w:pStyle w:val="ListParagraph"/>
              <w:tabs>
                <w:tab w:val="left" w:pos="540"/>
                <w:tab w:val="left" w:pos="1440"/>
              </w:tabs>
              <w:ind w:left="0"/>
              <w:rPr>
                <w:rFonts w:cs="Arial"/>
                <w:b/>
              </w:rPr>
            </w:pPr>
            <w:r w:rsidRPr="005D4E41">
              <w:rPr>
                <w:rFonts w:cs="Arial"/>
                <w:b/>
              </w:rPr>
              <w:t>Table 1 :  Scoring of suppliers on quality</w:t>
            </w:r>
          </w:p>
        </w:tc>
      </w:tr>
      <w:tr w:rsidR="001C3433" w:rsidRPr="005D4E41" w:rsidTr="00384D2B">
        <w:tc>
          <w:tcPr>
            <w:tcW w:w="3122" w:type="dxa"/>
            <w:shd w:val="clear" w:color="auto" w:fill="A6A6A6" w:themeFill="background1" w:themeFillShade="A6"/>
          </w:tcPr>
          <w:p w:rsidR="001C3433" w:rsidRPr="005D4E41" w:rsidRDefault="001C3433" w:rsidP="002775CD">
            <w:pPr>
              <w:pStyle w:val="ListParagraph"/>
              <w:tabs>
                <w:tab w:val="left" w:pos="540"/>
                <w:tab w:val="left" w:pos="1440"/>
              </w:tabs>
              <w:ind w:left="0"/>
              <w:rPr>
                <w:rFonts w:cs="Arial"/>
                <w:b/>
              </w:rPr>
            </w:pPr>
            <w:r w:rsidRPr="005D4E41">
              <w:rPr>
                <w:rFonts w:cs="Arial"/>
                <w:b/>
              </w:rPr>
              <w:t>Question</w:t>
            </w:r>
          </w:p>
        </w:tc>
        <w:tc>
          <w:tcPr>
            <w:tcW w:w="1280" w:type="dxa"/>
            <w:shd w:val="clear" w:color="auto" w:fill="A6A6A6" w:themeFill="background1" w:themeFillShade="A6"/>
          </w:tcPr>
          <w:p w:rsidR="001C3433" w:rsidRPr="005D4E41" w:rsidRDefault="001C3433" w:rsidP="002775CD">
            <w:pPr>
              <w:pStyle w:val="ListParagraph"/>
              <w:tabs>
                <w:tab w:val="left" w:pos="540"/>
                <w:tab w:val="left" w:pos="1440"/>
              </w:tabs>
              <w:ind w:left="0"/>
              <w:rPr>
                <w:rFonts w:cs="Arial"/>
                <w:b/>
              </w:rPr>
            </w:pPr>
            <w:r w:rsidRPr="005D4E41">
              <w:rPr>
                <w:rFonts w:cs="Arial"/>
                <w:b/>
              </w:rPr>
              <w:t>Available Weighting</w:t>
            </w:r>
          </w:p>
        </w:tc>
        <w:tc>
          <w:tcPr>
            <w:tcW w:w="1418" w:type="dxa"/>
            <w:shd w:val="clear" w:color="auto" w:fill="A6A6A6" w:themeFill="background1" w:themeFillShade="A6"/>
          </w:tcPr>
          <w:p w:rsidR="001C3433" w:rsidRPr="005D4E41" w:rsidRDefault="001C3433" w:rsidP="002775CD">
            <w:pPr>
              <w:pStyle w:val="ListParagraph"/>
              <w:tabs>
                <w:tab w:val="left" w:pos="540"/>
                <w:tab w:val="left" w:pos="1440"/>
              </w:tabs>
              <w:ind w:left="0"/>
              <w:rPr>
                <w:rFonts w:cs="Arial"/>
                <w:b/>
              </w:rPr>
            </w:pPr>
            <w:r w:rsidRPr="005D4E41">
              <w:rPr>
                <w:rFonts w:cs="Arial"/>
                <w:b/>
              </w:rPr>
              <w:t>Supplier 1</w:t>
            </w:r>
          </w:p>
          <w:p w:rsidR="001C3433" w:rsidRPr="005D4E41" w:rsidRDefault="001C3433" w:rsidP="002775CD">
            <w:pPr>
              <w:pStyle w:val="ListParagraph"/>
              <w:tabs>
                <w:tab w:val="left" w:pos="540"/>
                <w:tab w:val="left" w:pos="1440"/>
              </w:tabs>
              <w:ind w:left="0"/>
              <w:rPr>
                <w:rFonts w:cs="Arial"/>
                <w:b/>
              </w:rPr>
            </w:pPr>
            <w:r w:rsidRPr="005D4E41">
              <w:rPr>
                <w:rFonts w:cs="Arial"/>
                <w:b/>
              </w:rPr>
              <w:t>Weighting</w:t>
            </w:r>
          </w:p>
        </w:tc>
        <w:tc>
          <w:tcPr>
            <w:tcW w:w="1417" w:type="dxa"/>
            <w:shd w:val="clear" w:color="auto" w:fill="A6A6A6" w:themeFill="background1" w:themeFillShade="A6"/>
          </w:tcPr>
          <w:p w:rsidR="001C3433" w:rsidRPr="005D4E41" w:rsidRDefault="001C3433" w:rsidP="002775CD">
            <w:pPr>
              <w:pStyle w:val="ListParagraph"/>
              <w:tabs>
                <w:tab w:val="left" w:pos="540"/>
                <w:tab w:val="left" w:pos="1440"/>
              </w:tabs>
              <w:ind w:left="0"/>
              <w:rPr>
                <w:rFonts w:cs="Arial"/>
                <w:b/>
              </w:rPr>
            </w:pPr>
            <w:r w:rsidRPr="005D4E41">
              <w:rPr>
                <w:rFonts w:cs="Arial"/>
                <w:b/>
              </w:rPr>
              <w:t>Supplier 2</w:t>
            </w:r>
          </w:p>
          <w:p w:rsidR="001C3433" w:rsidRPr="005D4E41" w:rsidRDefault="001C3433" w:rsidP="002775CD">
            <w:pPr>
              <w:pStyle w:val="ListParagraph"/>
              <w:tabs>
                <w:tab w:val="left" w:pos="540"/>
                <w:tab w:val="left" w:pos="1440"/>
              </w:tabs>
              <w:ind w:left="0"/>
              <w:rPr>
                <w:rFonts w:cs="Arial"/>
                <w:b/>
              </w:rPr>
            </w:pPr>
            <w:r w:rsidRPr="005D4E41">
              <w:rPr>
                <w:rFonts w:cs="Arial"/>
                <w:b/>
              </w:rPr>
              <w:t>Weighting</w:t>
            </w:r>
          </w:p>
        </w:tc>
        <w:tc>
          <w:tcPr>
            <w:tcW w:w="1508" w:type="dxa"/>
            <w:shd w:val="clear" w:color="auto" w:fill="A6A6A6" w:themeFill="background1" w:themeFillShade="A6"/>
          </w:tcPr>
          <w:p w:rsidR="001C3433" w:rsidRPr="005D4E41" w:rsidRDefault="001C3433" w:rsidP="002775CD">
            <w:pPr>
              <w:pStyle w:val="ListParagraph"/>
              <w:tabs>
                <w:tab w:val="left" w:pos="540"/>
                <w:tab w:val="left" w:pos="1440"/>
              </w:tabs>
              <w:ind w:left="0"/>
              <w:rPr>
                <w:rFonts w:cs="Arial"/>
                <w:b/>
              </w:rPr>
            </w:pPr>
            <w:r w:rsidRPr="005D4E41">
              <w:rPr>
                <w:rFonts w:cs="Arial"/>
                <w:b/>
              </w:rPr>
              <w:t>Supplier 3</w:t>
            </w:r>
          </w:p>
          <w:p w:rsidR="001C3433" w:rsidRPr="005D4E41" w:rsidRDefault="001C3433" w:rsidP="002775CD">
            <w:pPr>
              <w:pStyle w:val="ListParagraph"/>
              <w:tabs>
                <w:tab w:val="left" w:pos="540"/>
                <w:tab w:val="left" w:pos="1440"/>
              </w:tabs>
              <w:ind w:left="0"/>
              <w:rPr>
                <w:rFonts w:cs="Arial"/>
                <w:b/>
              </w:rPr>
            </w:pPr>
            <w:r w:rsidRPr="005D4E41">
              <w:rPr>
                <w:rFonts w:cs="Arial"/>
                <w:b/>
              </w:rPr>
              <w:t>Weighting</w:t>
            </w:r>
          </w:p>
        </w:tc>
      </w:tr>
      <w:tr w:rsidR="001C3433" w:rsidRPr="005D4E41" w:rsidTr="00D11A09">
        <w:tc>
          <w:tcPr>
            <w:tcW w:w="3122" w:type="dxa"/>
          </w:tcPr>
          <w:p w:rsidR="001C3433" w:rsidRPr="005D4E41" w:rsidRDefault="001C3433" w:rsidP="002775CD">
            <w:pPr>
              <w:pStyle w:val="ListParagraph"/>
              <w:tabs>
                <w:tab w:val="left" w:pos="540"/>
                <w:tab w:val="left" w:pos="1440"/>
              </w:tabs>
              <w:ind w:left="0"/>
              <w:rPr>
                <w:rFonts w:cs="Arial"/>
              </w:rPr>
            </w:pPr>
            <w:r w:rsidRPr="005D4E41">
              <w:rPr>
                <w:rFonts w:cs="Arial"/>
              </w:rPr>
              <w:t>Q5 – Team mobilisation</w:t>
            </w:r>
          </w:p>
        </w:tc>
        <w:tc>
          <w:tcPr>
            <w:tcW w:w="1280" w:type="dxa"/>
          </w:tcPr>
          <w:p w:rsidR="001C3433" w:rsidRPr="005D4E41" w:rsidRDefault="001C3433" w:rsidP="002775CD">
            <w:pPr>
              <w:pStyle w:val="ListParagraph"/>
              <w:tabs>
                <w:tab w:val="left" w:pos="540"/>
                <w:tab w:val="left" w:pos="1440"/>
              </w:tabs>
              <w:ind w:left="0"/>
              <w:rPr>
                <w:rFonts w:cs="Arial"/>
              </w:rPr>
            </w:pPr>
            <w:r w:rsidRPr="005D4E41">
              <w:rPr>
                <w:rFonts w:cs="Arial"/>
              </w:rPr>
              <w:t>8.00%</w:t>
            </w:r>
          </w:p>
        </w:tc>
        <w:tc>
          <w:tcPr>
            <w:tcW w:w="1418" w:type="dxa"/>
          </w:tcPr>
          <w:p w:rsidR="001C3433" w:rsidRPr="005D4E41" w:rsidRDefault="001C3433" w:rsidP="002775CD">
            <w:pPr>
              <w:pStyle w:val="ListParagraph"/>
              <w:tabs>
                <w:tab w:val="left" w:pos="540"/>
                <w:tab w:val="left" w:pos="1440"/>
              </w:tabs>
              <w:ind w:left="0"/>
              <w:rPr>
                <w:rFonts w:cs="Arial"/>
              </w:rPr>
            </w:pPr>
            <w:r w:rsidRPr="005D4E41">
              <w:rPr>
                <w:rFonts w:cs="Arial"/>
              </w:rPr>
              <w:t>4.80%</w:t>
            </w:r>
          </w:p>
        </w:tc>
        <w:tc>
          <w:tcPr>
            <w:tcW w:w="1417" w:type="dxa"/>
          </w:tcPr>
          <w:p w:rsidR="001C3433" w:rsidRPr="005D4E41" w:rsidRDefault="001C3433" w:rsidP="002775CD">
            <w:pPr>
              <w:pStyle w:val="ListParagraph"/>
              <w:tabs>
                <w:tab w:val="left" w:pos="540"/>
                <w:tab w:val="left" w:pos="1440"/>
              </w:tabs>
              <w:ind w:left="0"/>
              <w:rPr>
                <w:rFonts w:cs="Arial"/>
              </w:rPr>
            </w:pPr>
            <w:r w:rsidRPr="005D4E41">
              <w:rPr>
                <w:rFonts w:cs="Arial"/>
              </w:rPr>
              <w:t>8.00%</w:t>
            </w:r>
          </w:p>
        </w:tc>
        <w:tc>
          <w:tcPr>
            <w:tcW w:w="1508" w:type="dxa"/>
          </w:tcPr>
          <w:p w:rsidR="001C3433" w:rsidRPr="005D4E41" w:rsidRDefault="001C3433" w:rsidP="002775CD">
            <w:pPr>
              <w:pStyle w:val="ListParagraph"/>
              <w:tabs>
                <w:tab w:val="left" w:pos="540"/>
                <w:tab w:val="left" w:pos="1440"/>
              </w:tabs>
              <w:ind w:left="0"/>
              <w:rPr>
                <w:rFonts w:cs="Arial"/>
              </w:rPr>
            </w:pPr>
            <w:r w:rsidRPr="005D4E41">
              <w:rPr>
                <w:rFonts w:cs="Arial"/>
              </w:rPr>
              <w:t>6.40%</w:t>
            </w:r>
          </w:p>
        </w:tc>
      </w:tr>
      <w:tr w:rsidR="001C3433" w:rsidRPr="005D4E41" w:rsidTr="00D11A09">
        <w:tc>
          <w:tcPr>
            <w:tcW w:w="3122" w:type="dxa"/>
          </w:tcPr>
          <w:p w:rsidR="001C3433" w:rsidRPr="005D4E41" w:rsidRDefault="001C3433" w:rsidP="002775CD">
            <w:pPr>
              <w:pStyle w:val="ListParagraph"/>
              <w:tabs>
                <w:tab w:val="left" w:pos="540"/>
                <w:tab w:val="left" w:pos="1440"/>
              </w:tabs>
              <w:ind w:left="0"/>
              <w:rPr>
                <w:rFonts w:cs="Arial"/>
              </w:rPr>
            </w:pPr>
            <w:r w:rsidRPr="005D4E41">
              <w:rPr>
                <w:rFonts w:cs="Arial"/>
              </w:rPr>
              <w:t>Q6 – Seamless transfer of audit contract</w:t>
            </w:r>
          </w:p>
        </w:tc>
        <w:tc>
          <w:tcPr>
            <w:tcW w:w="1280" w:type="dxa"/>
          </w:tcPr>
          <w:p w:rsidR="001C3433" w:rsidRPr="005D4E41" w:rsidRDefault="001C3433" w:rsidP="002775CD">
            <w:pPr>
              <w:pStyle w:val="ListParagraph"/>
              <w:tabs>
                <w:tab w:val="left" w:pos="540"/>
                <w:tab w:val="left" w:pos="1440"/>
              </w:tabs>
              <w:ind w:left="0"/>
              <w:rPr>
                <w:rFonts w:cs="Arial"/>
              </w:rPr>
            </w:pPr>
            <w:r w:rsidRPr="005D4E41">
              <w:rPr>
                <w:rFonts w:cs="Arial"/>
              </w:rPr>
              <w:t>7.00%</w:t>
            </w:r>
          </w:p>
        </w:tc>
        <w:tc>
          <w:tcPr>
            <w:tcW w:w="1418" w:type="dxa"/>
          </w:tcPr>
          <w:p w:rsidR="001C3433" w:rsidRPr="005D4E41" w:rsidRDefault="001C3433" w:rsidP="002775CD">
            <w:pPr>
              <w:pStyle w:val="ListParagraph"/>
              <w:tabs>
                <w:tab w:val="left" w:pos="540"/>
                <w:tab w:val="left" w:pos="1440"/>
              </w:tabs>
              <w:ind w:left="0"/>
              <w:rPr>
                <w:rFonts w:cs="Arial"/>
              </w:rPr>
            </w:pPr>
            <w:r w:rsidRPr="005D4E41">
              <w:rPr>
                <w:rFonts w:cs="Arial"/>
              </w:rPr>
              <w:t>4.20%</w:t>
            </w:r>
          </w:p>
        </w:tc>
        <w:tc>
          <w:tcPr>
            <w:tcW w:w="1417" w:type="dxa"/>
          </w:tcPr>
          <w:p w:rsidR="001C3433" w:rsidRPr="005D4E41" w:rsidRDefault="001C3433" w:rsidP="002775CD">
            <w:pPr>
              <w:pStyle w:val="ListParagraph"/>
              <w:tabs>
                <w:tab w:val="left" w:pos="540"/>
                <w:tab w:val="left" w:pos="1440"/>
              </w:tabs>
              <w:ind w:left="0"/>
              <w:rPr>
                <w:rFonts w:cs="Arial"/>
              </w:rPr>
            </w:pPr>
            <w:r w:rsidRPr="005D4E41">
              <w:rPr>
                <w:rFonts w:cs="Arial"/>
              </w:rPr>
              <w:t>5.60%</w:t>
            </w:r>
          </w:p>
        </w:tc>
        <w:tc>
          <w:tcPr>
            <w:tcW w:w="1508" w:type="dxa"/>
          </w:tcPr>
          <w:p w:rsidR="001C3433" w:rsidRPr="005D4E41" w:rsidRDefault="001C3433" w:rsidP="002775CD">
            <w:pPr>
              <w:pStyle w:val="ListParagraph"/>
              <w:tabs>
                <w:tab w:val="left" w:pos="540"/>
                <w:tab w:val="left" w:pos="1440"/>
              </w:tabs>
              <w:ind w:left="0"/>
              <w:rPr>
                <w:rFonts w:cs="Arial"/>
              </w:rPr>
            </w:pPr>
            <w:r w:rsidRPr="005D4E41">
              <w:rPr>
                <w:rFonts w:cs="Arial"/>
              </w:rPr>
              <w:t>4.20%</w:t>
            </w:r>
          </w:p>
        </w:tc>
      </w:tr>
      <w:tr w:rsidR="001C3433" w:rsidRPr="005D4E41" w:rsidTr="00D11A09">
        <w:tc>
          <w:tcPr>
            <w:tcW w:w="3122" w:type="dxa"/>
          </w:tcPr>
          <w:p w:rsidR="001C3433" w:rsidRPr="005D4E41" w:rsidRDefault="001C3433" w:rsidP="002775CD">
            <w:pPr>
              <w:pStyle w:val="ListParagraph"/>
              <w:tabs>
                <w:tab w:val="left" w:pos="540"/>
                <w:tab w:val="left" w:pos="1440"/>
              </w:tabs>
              <w:ind w:left="0"/>
              <w:rPr>
                <w:rFonts w:cs="Arial"/>
              </w:rPr>
            </w:pPr>
            <w:r w:rsidRPr="005D4E41">
              <w:rPr>
                <w:rFonts w:cs="Arial"/>
              </w:rPr>
              <w:t>Q7 – Indicative audit plan</w:t>
            </w:r>
          </w:p>
        </w:tc>
        <w:tc>
          <w:tcPr>
            <w:tcW w:w="1280" w:type="dxa"/>
          </w:tcPr>
          <w:p w:rsidR="001C3433" w:rsidRPr="005D4E41" w:rsidRDefault="001C3433" w:rsidP="002775CD">
            <w:pPr>
              <w:pStyle w:val="ListParagraph"/>
              <w:tabs>
                <w:tab w:val="left" w:pos="540"/>
                <w:tab w:val="left" w:pos="1440"/>
              </w:tabs>
              <w:ind w:left="0"/>
              <w:rPr>
                <w:rFonts w:cs="Arial"/>
              </w:rPr>
            </w:pPr>
            <w:r w:rsidRPr="005D4E41">
              <w:rPr>
                <w:rFonts w:cs="Arial"/>
              </w:rPr>
              <w:t>4.00%</w:t>
            </w:r>
          </w:p>
        </w:tc>
        <w:tc>
          <w:tcPr>
            <w:tcW w:w="1418" w:type="dxa"/>
          </w:tcPr>
          <w:p w:rsidR="001C3433" w:rsidRPr="005D4E41" w:rsidRDefault="001C3433" w:rsidP="002775CD">
            <w:pPr>
              <w:pStyle w:val="ListParagraph"/>
              <w:tabs>
                <w:tab w:val="left" w:pos="540"/>
                <w:tab w:val="left" w:pos="1440"/>
              </w:tabs>
              <w:ind w:left="0"/>
              <w:rPr>
                <w:rFonts w:cs="Arial"/>
              </w:rPr>
            </w:pPr>
            <w:r w:rsidRPr="005D4E41">
              <w:rPr>
                <w:rFonts w:cs="Arial"/>
              </w:rPr>
              <w:t>1.60%</w:t>
            </w:r>
          </w:p>
        </w:tc>
        <w:tc>
          <w:tcPr>
            <w:tcW w:w="1417" w:type="dxa"/>
          </w:tcPr>
          <w:p w:rsidR="001C3433" w:rsidRPr="005D4E41" w:rsidRDefault="001C3433" w:rsidP="002775CD">
            <w:pPr>
              <w:pStyle w:val="ListParagraph"/>
              <w:tabs>
                <w:tab w:val="left" w:pos="540"/>
                <w:tab w:val="left" w:pos="1440"/>
              </w:tabs>
              <w:ind w:left="0"/>
              <w:rPr>
                <w:rFonts w:cs="Arial"/>
              </w:rPr>
            </w:pPr>
            <w:r w:rsidRPr="005D4E41">
              <w:rPr>
                <w:rFonts w:cs="Arial"/>
              </w:rPr>
              <w:t>4.00%</w:t>
            </w:r>
          </w:p>
        </w:tc>
        <w:tc>
          <w:tcPr>
            <w:tcW w:w="1508" w:type="dxa"/>
          </w:tcPr>
          <w:p w:rsidR="001C3433" w:rsidRPr="005D4E41" w:rsidRDefault="001C3433" w:rsidP="002775CD">
            <w:pPr>
              <w:pStyle w:val="ListParagraph"/>
              <w:tabs>
                <w:tab w:val="left" w:pos="540"/>
                <w:tab w:val="left" w:pos="1440"/>
              </w:tabs>
              <w:ind w:left="0"/>
              <w:rPr>
                <w:rFonts w:cs="Arial"/>
              </w:rPr>
            </w:pPr>
            <w:r w:rsidRPr="005D4E41">
              <w:rPr>
                <w:rFonts w:cs="Arial"/>
              </w:rPr>
              <w:t>2.40%</w:t>
            </w:r>
          </w:p>
        </w:tc>
      </w:tr>
      <w:tr w:rsidR="001C3433" w:rsidRPr="005D4E41" w:rsidTr="00D11A09">
        <w:tc>
          <w:tcPr>
            <w:tcW w:w="3122" w:type="dxa"/>
          </w:tcPr>
          <w:p w:rsidR="001C3433" w:rsidRPr="005D4E41" w:rsidRDefault="001C3433" w:rsidP="002775CD">
            <w:pPr>
              <w:pStyle w:val="ListParagraph"/>
              <w:tabs>
                <w:tab w:val="left" w:pos="540"/>
                <w:tab w:val="left" w:pos="1440"/>
              </w:tabs>
              <w:ind w:left="0"/>
              <w:rPr>
                <w:rFonts w:cs="Arial"/>
              </w:rPr>
            </w:pPr>
            <w:r w:rsidRPr="005D4E41">
              <w:rPr>
                <w:rFonts w:cs="Arial"/>
              </w:rPr>
              <w:t>Q8 – Delivery team skills &amp; qualifications</w:t>
            </w:r>
          </w:p>
        </w:tc>
        <w:tc>
          <w:tcPr>
            <w:tcW w:w="1280" w:type="dxa"/>
          </w:tcPr>
          <w:p w:rsidR="001C3433" w:rsidRPr="005D4E41" w:rsidRDefault="001C3433" w:rsidP="002775CD">
            <w:pPr>
              <w:pStyle w:val="ListParagraph"/>
              <w:tabs>
                <w:tab w:val="left" w:pos="540"/>
                <w:tab w:val="left" w:pos="1440"/>
              </w:tabs>
              <w:ind w:left="0"/>
              <w:rPr>
                <w:rFonts w:cs="Arial"/>
              </w:rPr>
            </w:pPr>
            <w:r w:rsidRPr="005D4E41">
              <w:rPr>
                <w:rFonts w:cs="Arial"/>
              </w:rPr>
              <w:t>8.00%</w:t>
            </w:r>
          </w:p>
        </w:tc>
        <w:tc>
          <w:tcPr>
            <w:tcW w:w="1418" w:type="dxa"/>
          </w:tcPr>
          <w:p w:rsidR="001C3433" w:rsidRPr="005D4E41" w:rsidRDefault="001C3433" w:rsidP="002775CD">
            <w:pPr>
              <w:pStyle w:val="ListParagraph"/>
              <w:tabs>
                <w:tab w:val="left" w:pos="540"/>
                <w:tab w:val="left" w:pos="1440"/>
              </w:tabs>
              <w:ind w:left="0"/>
              <w:rPr>
                <w:rFonts w:cs="Arial"/>
              </w:rPr>
            </w:pPr>
            <w:r w:rsidRPr="005D4E41">
              <w:rPr>
                <w:rFonts w:cs="Arial"/>
              </w:rPr>
              <w:t>4.80%</w:t>
            </w:r>
          </w:p>
        </w:tc>
        <w:tc>
          <w:tcPr>
            <w:tcW w:w="1417" w:type="dxa"/>
          </w:tcPr>
          <w:p w:rsidR="001C3433" w:rsidRPr="005D4E41" w:rsidRDefault="001C3433" w:rsidP="002775CD">
            <w:pPr>
              <w:pStyle w:val="ListParagraph"/>
              <w:tabs>
                <w:tab w:val="left" w:pos="540"/>
                <w:tab w:val="left" w:pos="1440"/>
              </w:tabs>
              <w:ind w:left="0"/>
              <w:rPr>
                <w:rFonts w:cs="Arial"/>
              </w:rPr>
            </w:pPr>
            <w:r w:rsidRPr="005D4E41">
              <w:rPr>
                <w:rFonts w:cs="Arial"/>
              </w:rPr>
              <w:t>6.40%</w:t>
            </w:r>
          </w:p>
        </w:tc>
        <w:tc>
          <w:tcPr>
            <w:tcW w:w="1508" w:type="dxa"/>
          </w:tcPr>
          <w:p w:rsidR="001C3433" w:rsidRPr="005D4E41" w:rsidRDefault="001C3433" w:rsidP="002775CD">
            <w:pPr>
              <w:pStyle w:val="ListParagraph"/>
              <w:tabs>
                <w:tab w:val="left" w:pos="540"/>
                <w:tab w:val="left" w:pos="1440"/>
              </w:tabs>
              <w:ind w:left="0"/>
              <w:rPr>
                <w:rFonts w:cs="Arial"/>
              </w:rPr>
            </w:pPr>
            <w:r w:rsidRPr="005D4E41">
              <w:rPr>
                <w:rFonts w:cs="Arial"/>
              </w:rPr>
              <w:t>4.80%</w:t>
            </w:r>
          </w:p>
        </w:tc>
      </w:tr>
      <w:tr w:rsidR="001C3433" w:rsidRPr="005D4E41" w:rsidTr="00D11A09">
        <w:tc>
          <w:tcPr>
            <w:tcW w:w="3122" w:type="dxa"/>
          </w:tcPr>
          <w:p w:rsidR="001C3433" w:rsidRPr="005D4E41" w:rsidRDefault="001C3433" w:rsidP="002775CD">
            <w:pPr>
              <w:pStyle w:val="ListParagraph"/>
              <w:tabs>
                <w:tab w:val="left" w:pos="540"/>
                <w:tab w:val="left" w:pos="1440"/>
              </w:tabs>
              <w:ind w:left="0"/>
              <w:rPr>
                <w:rFonts w:cs="Arial"/>
              </w:rPr>
            </w:pPr>
            <w:r w:rsidRPr="005D4E41">
              <w:rPr>
                <w:rFonts w:cs="Arial"/>
              </w:rPr>
              <w:t>Q9 – Methodology to deliver the audit plan</w:t>
            </w:r>
          </w:p>
        </w:tc>
        <w:tc>
          <w:tcPr>
            <w:tcW w:w="1280" w:type="dxa"/>
          </w:tcPr>
          <w:p w:rsidR="001C3433" w:rsidRPr="005D4E41" w:rsidRDefault="001C3433" w:rsidP="002775CD">
            <w:pPr>
              <w:pStyle w:val="ListParagraph"/>
              <w:tabs>
                <w:tab w:val="left" w:pos="540"/>
                <w:tab w:val="left" w:pos="1440"/>
              </w:tabs>
              <w:ind w:left="0"/>
              <w:rPr>
                <w:rFonts w:cs="Arial"/>
              </w:rPr>
            </w:pPr>
            <w:r w:rsidRPr="005D4E41">
              <w:rPr>
                <w:rFonts w:cs="Arial"/>
              </w:rPr>
              <w:t>5.00%</w:t>
            </w:r>
          </w:p>
        </w:tc>
        <w:tc>
          <w:tcPr>
            <w:tcW w:w="1418" w:type="dxa"/>
          </w:tcPr>
          <w:p w:rsidR="001C3433" w:rsidRPr="005D4E41" w:rsidRDefault="001C3433" w:rsidP="002775CD">
            <w:pPr>
              <w:pStyle w:val="ListParagraph"/>
              <w:tabs>
                <w:tab w:val="left" w:pos="540"/>
                <w:tab w:val="left" w:pos="1440"/>
              </w:tabs>
              <w:ind w:left="0"/>
              <w:rPr>
                <w:rFonts w:cs="Arial"/>
              </w:rPr>
            </w:pPr>
            <w:r w:rsidRPr="005D4E41">
              <w:rPr>
                <w:rFonts w:cs="Arial"/>
              </w:rPr>
              <w:t>4.00%</w:t>
            </w:r>
          </w:p>
        </w:tc>
        <w:tc>
          <w:tcPr>
            <w:tcW w:w="1417" w:type="dxa"/>
          </w:tcPr>
          <w:p w:rsidR="001C3433" w:rsidRPr="005D4E41" w:rsidRDefault="001C3433" w:rsidP="002775CD">
            <w:pPr>
              <w:pStyle w:val="ListParagraph"/>
              <w:tabs>
                <w:tab w:val="left" w:pos="540"/>
                <w:tab w:val="left" w:pos="1440"/>
              </w:tabs>
              <w:ind w:left="0"/>
              <w:rPr>
                <w:rFonts w:cs="Arial"/>
              </w:rPr>
            </w:pPr>
            <w:r w:rsidRPr="005D4E41">
              <w:rPr>
                <w:rFonts w:cs="Arial"/>
              </w:rPr>
              <w:t>4.00%</w:t>
            </w:r>
          </w:p>
        </w:tc>
        <w:tc>
          <w:tcPr>
            <w:tcW w:w="1508" w:type="dxa"/>
          </w:tcPr>
          <w:p w:rsidR="001C3433" w:rsidRPr="005D4E41" w:rsidRDefault="001C3433" w:rsidP="002775CD">
            <w:pPr>
              <w:pStyle w:val="ListParagraph"/>
              <w:tabs>
                <w:tab w:val="left" w:pos="540"/>
                <w:tab w:val="left" w:pos="1440"/>
              </w:tabs>
              <w:ind w:left="0"/>
              <w:rPr>
                <w:rFonts w:cs="Arial"/>
              </w:rPr>
            </w:pPr>
            <w:r w:rsidRPr="005D4E41">
              <w:rPr>
                <w:rFonts w:cs="Arial"/>
              </w:rPr>
              <w:t>4.00%</w:t>
            </w:r>
          </w:p>
        </w:tc>
      </w:tr>
      <w:tr w:rsidR="001C3433" w:rsidRPr="005D4E41" w:rsidTr="00D11A09">
        <w:tc>
          <w:tcPr>
            <w:tcW w:w="3122" w:type="dxa"/>
          </w:tcPr>
          <w:p w:rsidR="001C3433" w:rsidRPr="005D4E41" w:rsidRDefault="001C3433" w:rsidP="002775CD">
            <w:pPr>
              <w:pStyle w:val="ListParagraph"/>
              <w:tabs>
                <w:tab w:val="left" w:pos="540"/>
                <w:tab w:val="left" w:pos="1440"/>
              </w:tabs>
              <w:ind w:left="0"/>
              <w:rPr>
                <w:rFonts w:cs="Arial"/>
              </w:rPr>
            </w:pPr>
            <w:r w:rsidRPr="005D4E41">
              <w:rPr>
                <w:rFonts w:cs="Arial"/>
              </w:rPr>
              <w:t>Q10 – Reporting on delivery of the plan</w:t>
            </w:r>
          </w:p>
        </w:tc>
        <w:tc>
          <w:tcPr>
            <w:tcW w:w="1280" w:type="dxa"/>
          </w:tcPr>
          <w:p w:rsidR="001C3433" w:rsidRPr="005D4E41" w:rsidRDefault="001C3433" w:rsidP="002775CD">
            <w:pPr>
              <w:pStyle w:val="ListParagraph"/>
              <w:tabs>
                <w:tab w:val="left" w:pos="540"/>
                <w:tab w:val="left" w:pos="1440"/>
              </w:tabs>
              <w:ind w:left="0"/>
              <w:rPr>
                <w:rFonts w:cs="Arial"/>
              </w:rPr>
            </w:pPr>
            <w:r w:rsidRPr="005D4E41">
              <w:rPr>
                <w:rFonts w:cs="Arial"/>
              </w:rPr>
              <w:t>6.00%</w:t>
            </w:r>
          </w:p>
        </w:tc>
        <w:tc>
          <w:tcPr>
            <w:tcW w:w="1418" w:type="dxa"/>
          </w:tcPr>
          <w:p w:rsidR="001C3433" w:rsidRPr="005D4E41" w:rsidRDefault="001C3433" w:rsidP="002775CD">
            <w:pPr>
              <w:pStyle w:val="ListParagraph"/>
              <w:tabs>
                <w:tab w:val="left" w:pos="540"/>
                <w:tab w:val="left" w:pos="1440"/>
              </w:tabs>
              <w:ind w:left="0"/>
              <w:rPr>
                <w:rFonts w:cs="Arial"/>
              </w:rPr>
            </w:pPr>
            <w:r w:rsidRPr="005D4E41">
              <w:rPr>
                <w:rFonts w:cs="Arial"/>
              </w:rPr>
              <w:t>2.40%</w:t>
            </w:r>
          </w:p>
        </w:tc>
        <w:tc>
          <w:tcPr>
            <w:tcW w:w="1417" w:type="dxa"/>
          </w:tcPr>
          <w:p w:rsidR="001C3433" w:rsidRPr="005D4E41" w:rsidRDefault="001C3433" w:rsidP="002775CD">
            <w:pPr>
              <w:pStyle w:val="ListParagraph"/>
              <w:tabs>
                <w:tab w:val="left" w:pos="540"/>
                <w:tab w:val="left" w:pos="1440"/>
              </w:tabs>
              <w:ind w:left="0"/>
              <w:rPr>
                <w:rFonts w:cs="Arial"/>
              </w:rPr>
            </w:pPr>
            <w:r w:rsidRPr="005D4E41">
              <w:rPr>
                <w:rFonts w:cs="Arial"/>
              </w:rPr>
              <w:t>4.80%</w:t>
            </w:r>
          </w:p>
        </w:tc>
        <w:tc>
          <w:tcPr>
            <w:tcW w:w="1508" w:type="dxa"/>
          </w:tcPr>
          <w:p w:rsidR="001C3433" w:rsidRPr="005D4E41" w:rsidRDefault="001C3433" w:rsidP="002775CD">
            <w:pPr>
              <w:pStyle w:val="ListParagraph"/>
              <w:tabs>
                <w:tab w:val="left" w:pos="540"/>
                <w:tab w:val="left" w:pos="1440"/>
              </w:tabs>
              <w:ind w:left="0"/>
              <w:rPr>
                <w:rFonts w:cs="Arial"/>
              </w:rPr>
            </w:pPr>
            <w:r w:rsidRPr="005D4E41">
              <w:rPr>
                <w:rFonts w:cs="Arial"/>
              </w:rPr>
              <w:t>3.60%</w:t>
            </w:r>
          </w:p>
        </w:tc>
      </w:tr>
      <w:tr w:rsidR="001C3433" w:rsidRPr="005D4E41" w:rsidTr="00D11A09">
        <w:tc>
          <w:tcPr>
            <w:tcW w:w="3122" w:type="dxa"/>
          </w:tcPr>
          <w:p w:rsidR="001C3433" w:rsidRPr="005D4E41" w:rsidRDefault="001C3433" w:rsidP="002775CD">
            <w:pPr>
              <w:pStyle w:val="ListParagraph"/>
              <w:tabs>
                <w:tab w:val="left" w:pos="540"/>
                <w:tab w:val="left" w:pos="1440"/>
              </w:tabs>
              <w:ind w:left="0"/>
              <w:rPr>
                <w:rFonts w:cs="Arial"/>
              </w:rPr>
            </w:pPr>
            <w:r w:rsidRPr="005D4E41">
              <w:rPr>
                <w:rFonts w:cs="Arial"/>
              </w:rPr>
              <w:t>Q11 – Learning about good industry practice</w:t>
            </w:r>
          </w:p>
        </w:tc>
        <w:tc>
          <w:tcPr>
            <w:tcW w:w="1280" w:type="dxa"/>
          </w:tcPr>
          <w:p w:rsidR="001C3433" w:rsidRPr="005D4E41" w:rsidRDefault="001C3433" w:rsidP="002775CD">
            <w:pPr>
              <w:pStyle w:val="ListParagraph"/>
              <w:tabs>
                <w:tab w:val="left" w:pos="540"/>
                <w:tab w:val="left" w:pos="1440"/>
              </w:tabs>
              <w:ind w:left="0"/>
              <w:rPr>
                <w:rFonts w:cs="Arial"/>
              </w:rPr>
            </w:pPr>
            <w:r w:rsidRPr="005D4E41">
              <w:rPr>
                <w:rFonts w:cs="Arial"/>
              </w:rPr>
              <w:t>7.00%</w:t>
            </w:r>
          </w:p>
        </w:tc>
        <w:tc>
          <w:tcPr>
            <w:tcW w:w="1418" w:type="dxa"/>
          </w:tcPr>
          <w:p w:rsidR="001C3433" w:rsidRPr="005D4E41" w:rsidRDefault="001C3433" w:rsidP="002775CD">
            <w:pPr>
              <w:pStyle w:val="ListParagraph"/>
              <w:tabs>
                <w:tab w:val="left" w:pos="540"/>
                <w:tab w:val="left" w:pos="1440"/>
              </w:tabs>
              <w:ind w:left="0"/>
              <w:rPr>
                <w:rFonts w:cs="Arial"/>
              </w:rPr>
            </w:pPr>
            <w:r w:rsidRPr="005D4E41">
              <w:rPr>
                <w:rFonts w:cs="Arial"/>
              </w:rPr>
              <w:t>4.20%</w:t>
            </w:r>
          </w:p>
        </w:tc>
        <w:tc>
          <w:tcPr>
            <w:tcW w:w="1417" w:type="dxa"/>
          </w:tcPr>
          <w:p w:rsidR="001C3433" w:rsidRPr="005D4E41" w:rsidRDefault="001C3433" w:rsidP="002775CD">
            <w:pPr>
              <w:pStyle w:val="ListParagraph"/>
              <w:tabs>
                <w:tab w:val="left" w:pos="540"/>
                <w:tab w:val="left" w:pos="1440"/>
              </w:tabs>
              <w:ind w:left="0"/>
              <w:rPr>
                <w:rFonts w:cs="Arial"/>
              </w:rPr>
            </w:pPr>
            <w:r w:rsidRPr="005D4E41">
              <w:rPr>
                <w:rFonts w:cs="Arial"/>
              </w:rPr>
              <w:t>5.60%</w:t>
            </w:r>
          </w:p>
        </w:tc>
        <w:tc>
          <w:tcPr>
            <w:tcW w:w="1508" w:type="dxa"/>
          </w:tcPr>
          <w:p w:rsidR="001C3433" w:rsidRPr="005D4E41" w:rsidRDefault="001C3433" w:rsidP="002775CD">
            <w:pPr>
              <w:pStyle w:val="ListParagraph"/>
              <w:tabs>
                <w:tab w:val="left" w:pos="540"/>
                <w:tab w:val="left" w:pos="1440"/>
              </w:tabs>
              <w:ind w:left="0"/>
              <w:rPr>
                <w:rFonts w:cs="Arial"/>
              </w:rPr>
            </w:pPr>
            <w:r w:rsidRPr="005D4E41">
              <w:rPr>
                <w:rFonts w:cs="Arial"/>
              </w:rPr>
              <w:t>5.60%</w:t>
            </w:r>
          </w:p>
        </w:tc>
      </w:tr>
      <w:tr w:rsidR="001C3433" w:rsidRPr="005D4E41" w:rsidTr="00D11A09">
        <w:tc>
          <w:tcPr>
            <w:tcW w:w="3122" w:type="dxa"/>
          </w:tcPr>
          <w:p w:rsidR="001C3433" w:rsidRPr="005D4E41" w:rsidRDefault="001C3433" w:rsidP="002775CD">
            <w:pPr>
              <w:pStyle w:val="ListParagraph"/>
              <w:tabs>
                <w:tab w:val="left" w:pos="540"/>
                <w:tab w:val="left" w:pos="1440"/>
              </w:tabs>
              <w:ind w:left="0"/>
              <w:rPr>
                <w:rFonts w:cs="Arial"/>
              </w:rPr>
            </w:pPr>
            <w:r w:rsidRPr="005D4E41">
              <w:rPr>
                <w:rFonts w:cs="Arial"/>
              </w:rPr>
              <w:t>Q12 – Innovative audit techniques</w:t>
            </w:r>
          </w:p>
        </w:tc>
        <w:tc>
          <w:tcPr>
            <w:tcW w:w="1280" w:type="dxa"/>
          </w:tcPr>
          <w:p w:rsidR="001C3433" w:rsidRPr="005D4E41" w:rsidRDefault="001C3433" w:rsidP="002775CD">
            <w:pPr>
              <w:pStyle w:val="ListParagraph"/>
              <w:tabs>
                <w:tab w:val="left" w:pos="540"/>
                <w:tab w:val="left" w:pos="1440"/>
              </w:tabs>
              <w:ind w:left="0"/>
              <w:rPr>
                <w:rFonts w:cs="Arial"/>
              </w:rPr>
            </w:pPr>
            <w:r w:rsidRPr="005D4E41">
              <w:rPr>
                <w:rFonts w:cs="Arial"/>
              </w:rPr>
              <w:t>6.00%</w:t>
            </w:r>
          </w:p>
        </w:tc>
        <w:tc>
          <w:tcPr>
            <w:tcW w:w="1418" w:type="dxa"/>
          </w:tcPr>
          <w:p w:rsidR="001C3433" w:rsidRPr="005D4E41" w:rsidRDefault="001C3433" w:rsidP="002775CD">
            <w:pPr>
              <w:pStyle w:val="ListParagraph"/>
              <w:tabs>
                <w:tab w:val="left" w:pos="540"/>
                <w:tab w:val="left" w:pos="1440"/>
              </w:tabs>
              <w:ind w:left="0"/>
              <w:rPr>
                <w:rFonts w:cs="Arial"/>
              </w:rPr>
            </w:pPr>
            <w:r w:rsidRPr="005D4E41">
              <w:rPr>
                <w:rFonts w:cs="Arial"/>
              </w:rPr>
              <w:t>3.60%</w:t>
            </w:r>
          </w:p>
        </w:tc>
        <w:tc>
          <w:tcPr>
            <w:tcW w:w="1417" w:type="dxa"/>
          </w:tcPr>
          <w:p w:rsidR="001C3433" w:rsidRPr="005D4E41" w:rsidRDefault="001C3433" w:rsidP="002775CD">
            <w:pPr>
              <w:pStyle w:val="ListParagraph"/>
              <w:tabs>
                <w:tab w:val="left" w:pos="540"/>
                <w:tab w:val="left" w:pos="1440"/>
              </w:tabs>
              <w:ind w:left="0"/>
              <w:rPr>
                <w:rFonts w:cs="Arial"/>
              </w:rPr>
            </w:pPr>
            <w:r w:rsidRPr="005D4E41">
              <w:rPr>
                <w:rFonts w:cs="Arial"/>
              </w:rPr>
              <w:t>3.60%</w:t>
            </w:r>
          </w:p>
        </w:tc>
        <w:tc>
          <w:tcPr>
            <w:tcW w:w="1508" w:type="dxa"/>
          </w:tcPr>
          <w:p w:rsidR="001C3433" w:rsidRPr="005D4E41" w:rsidRDefault="001C3433" w:rsidP="002775CD">
            <w:pPr>
              <w:pStyle w:val="ListParagraph"/>
              <w:tabs>
                <w:tab w:val="left" w:pos="540"/>
                <w:tab w:val="left" w:pos="1440"/>
              </w:tabs>
              <w:ind w:left="0"/>
              <w:rPr>
                <w:rFonts w:cs="Arial"/>
              </w:rPr>
            </w:pPr>
            <w:r w:rsidRPr="005D4E41">
              <w:rPr>
                <w:rFonts w:cs="Arial"/>
              </w:rPr>
              <w:t>4.80%</w:t>
            </w:r>
          </w:p>
        </w:tc>
      </w:tr>
      <w:tr w:rsidR="001C3433" w:rsidRPr="005D4E41" w:rsidTr="00D11A09">
        <w:tc>
          <w:tcPr>
            <w:tcW w:w="3122" w:type="dxa"/>
          </w:tcPr>
          <w:p w:rsidR="001C3433" w:rsidRPr="005D4E41" w:rsidRDefault="001C3433" w:rsidP="002775CD">
            <w:pPr>
              <w:pStyle w:val="ListParagraph"/>
              <w:tabs>
                <w:tab w:val="left" w:pos="540"/>
                <w:tab w:val="left" w:pos="1440"/>
              </w:tabs>
              <w:ind w:left="0"/>
              <w:rPr>
                <w:rFonts w:cs="Arial"/>
              </w:rPr>
            </w:pPr>
            <w:r w:rsidRPr="005D4E41">
              <w:rPr>
                <w:rFonts w:cs="Arial"/>
              </w:rPr>
              <w:t xml:space="preserve">Q13 – </w:t>
            </w:r>
            <w:proofErr w:type="spellStart"/>
            <w:r w:rsidRPr="005D4E41">
              <w:rPr>
                <w:rFonts w:cs="Arial"/>
              </w:rPr>
              <w:t>SLA’s</w:t>
            </w:r>
            <w:proofErr w:type="spellEnd"/>
            <w:r w:rsidRPr="005D4E41">
              <w:rPr>
                <w:rFonts w:cs="Arial"/>
              </w:rPr>
              <w:t xml:space="preserve"> and </w:t>
            </w:r>
            <w:proofErr w:type="spellStart"/>
            <w:r w:rsidRPr="005D4E41">
              <w:rPr>
                <w:rFonts w:cs="Arial"/>
              </w:rPr>
              <w:t>KPI’s</w:t>
            </w:r>
            <w:proofErr w:type="spellEnd"/>
          </w:p>
        </w:tc>
        <w:tc>
          <w:tcPr>
            <w:tcW w:w="1280" w:type="dxa"/>
          </w:tcPr>
          <w:p w:rsidR="001C3433" w:rsidRPr="005D4E41" w:rsidRDefault="001C3433" w:rsidP="002775CD">
            <w:pPr>
              <w:pStyle w:val="ListParagraph"/>
              <w:tabs>
                <w:tab w:val="left" w:pos="540"/>
                <w:tab w:val="left" w:pos="1440"/>
              </w:tabs>
              <w:ind w:left="0"/>
              <w:rPr>
                <w:rFonts w:cs="Arial"/>
              </w:rPr>
            </w:pPr>
            <w:r w:rsidRPr="005D4E41">
              <w:rPr>
                <w:rFonts w:cs="Arial"/>
              </w:rPr>
              <w:t>6.00%</w:t>
            </w:r>
          </w:p>
        </w:tc>
        <w:tc>
          <w:tcPr>
            <w:tcW w:w="1418" w:type="dxa"/>
          </w:tcPr>
          <w:p w:rsidR="001C3433" w:rsidRPr="005D4E41" w:rsidRDefault="001C3433" w:rsidP="002775CD">
            <w:pPr>
              <w:pStyle w:val="ListParagraph"/>
              <w:tabs>
                <w:tab w:val="left" w:pos="540"/>
                <w:tab w:val="left" w:pos="1440"/>
              </w:tabs>
              <w:ind w:left="0"/>
              <w:rPr>
                <w:rFonts w:cs="Arial"/>
              </w:rPr>
            </w:pPr>
            <w:r w:rsidRPr="005D4E41">
              <w:rPr>
                <w:rFonts w:cs="Arial"/>
              </w:rPr>
              <w:t>3.60%</w:t>
            </w:r>
          </w:p>
        </w:tc>
        <w:tc>
          <w:tcPr>
            <w:tcW w:w="1417" w:type="dxa"/>
          </w:tcPr>
          <w:p w:rsidR="001C3433" w:rsidRPr="005D4E41" w:rsidRDefault="001C3433" w:rsidP="002775CD">
            <w:pPr>
              <w:pStyle w:val="ListParagraph"/>
              <w:tabs>
                <w:tab w:val="left" w:pos="540"/>
                <w:tab w:val="left" w:pos="1440"/>
              </w:tabs>
              <w:ind w:left="0"/>
              <w:rPr>
                <w:rFonts w:cs="Arial"/>
              </w:rPr>
            </w:pPr>
            <w:r w:rsidRPr="005D4E41">
              <w:rPr>
                <w:rFonts w:cs="Arial"/>
              </w:rPr>
              <w:t>4.80%</w:t>
            </w:r>
          </w:p>
        </w:tc>
        <w:tc>
          <w:tcPr>
            <w:tcW w:w="1508" w:type="dxa"/>
          </w:tcPr>
          <w:p w:rsidR="001C3433" w:rsidRPr="005D4E41" w:rsidRDefault="001C3433" w:rsidP="002775CD">
            <w:pPr>
              <w:pStyle w:val="ListParagraph"/>
              <w:tabs>
                <w:tab w:val="left" w:pos="540"/>
                <w:tab w:val="left" w:pos="1440"/>
              </w:tabs>
              <w:ind w:left="0"/>
              <w:rPr>
                <w:rFonts w:cs="Arial"/>
              </w:rPr>
            </w:pPr>
            <w:r w:rsidRPr="005D4E41">
              <w:rPr>
                <w:rFonts w:cs="Arial"/>
              </w:rPr>
              <w:t>4.80%</w:t>
            </w:r>
          </w:p>
        </w:tc>
      </w:tr>
      <w:tr w:rsidR="001C3433" w:rsidRPr="005D4E41" w:rsidTr="00D11A09">
        <w:tc>
          <w:tcPr>
            <w:tcW w:w="3122" w:type="dxa"/>
          </w:tcPr>
          <w:p w:rsidR="001C3433" w:rsidRPr="005D4E41" w:rsidRDefault="001C3433" w:rsidP="002775CD">
            <w:pPr>
              <w:pStyle w:val="ListParagraph"/>
              <w:tabs>
                <w:tab w:val="left" w:pos="540"/>
                <w:tab w:val="left" w:pos="1440"/>
              </w:tabs>
              <w:ind w:left="0"/>
              <w:rPr>
                <w:rFonts w:cs="Arial"/>
              </w:rPr>
            </w:pPr>
            <w:r w:rsidRPr="005D4E41">
              <w:rPr>
                <w:rFonts w:cs="Arial"/>
              </w:rPr>
              <w:t>Q14 – Additional areas of expertise</w:t>
            </w:r>
          </w:p>
        </w:tc>
        <w:tc>
          <w:tcPr>
            <w:tcW w:w="1280" w:type="dxa"/>
          </w:tcPr>
          <w:p w:rsidR="001C3433" w:rsidRPr="005D4E41" w:rsidRDefault="001C3433" w:rsidP="002775CD">
            <w:pPr>
              <w:pStyle w:val="ListParagraph"/>
              <w:tabs>
                <w:tab w:val="left" w:pos="540"/>
                <w:tab w:val="left" w:pos="1440"/>
              </w:tabs>
              <w:ind w:left="0"/>
              <w:rPr>
                <w:rFonts w:cs="Arial"/>
              </w:rPr>
            </w:pPr>
            <w:r w:rsidRPr="005D4E41">
              <w:rPr>
                <w:rFonts w:cs="Arial"/>
              </w:rPr>
              <w:t>5.00%</w:t>
            </w:r>
          </w:p>
        </w:tc>
        <w:tc>
          <w:tcPr>
            <w:tcW w:w="1418" w:type="dxa"/>
          </w:tcPr>
          <w:p w:rsidR="001C3433" w:rsidRPr="005D4E41" w:rsidRDefault="001C3433" w:rsidP="002775CD">
            <w:pPr>
              <w:pStyle w:val="ListParagraph"/>
              <w:tabs>
                <w:tab w:val="left" w:pos="540"/>
                <w:tab w:val="left" w:pos="1440"/>
              </w:tabs>
              <w:ind w:left="0"/>
              <w:rPr>
                <w:rFonts w:cs="Arial"/>
              </w:rPr>
            </w:pPr>
            <w:r w:rsidRPr="005D4E41">
              <w:rPr>
                <w:rFonts w:cs="Arial"/>
              </w:rPr>
              <w:t>4.00%</w:t>
            </w:r>
          </w:p>
        </w:tc>
        <w:tc>
          <w:tcPr>
            <w:tcW w:w="1417" w:type="dxa"/>
          </w:tcPr>
          <w:p w:rsidR="001C3433" w:rsidRPr="005D4E41" w:rsidRDefault="001C3433" w:rsidP="002775CD">
            <w:pPr>
              <w:pStyle w:val="ListParagraph"/>
              <w:tabs>
                <w:tab w:val="left" w:pos="540"/>
                <w:tab w:val="left" w:pos="1440"/>
              </w:tabs>
              <w:ind w:left="0"/>
              <w:rPr>
                <w:rFonts w:cs="Arial"/>
              </w:rPr>
            </w:pPr>
            <w:r w:rsidRPr="005D4E41">
              <w:rPr>
                <w:rFonts w:cs="Arial"/>
              </w:rPr>
              <w:t>4.00%</w:t>
            </w:r>
          </w:p>
        </w:tc>
        <w:tc>
          <w:tcPr>
            <w:tcW w:w="1508" w:type="dxa"/>
          </w:tcPr>
          <w:p w:rsidR="001C3433" w:rsidRPr="005D4E41" w:rsidRDefault="001C3433" w:rsidP="002775CD">
            <w:pPr>
              <w:pStyle w:val="ListParagraph"/>
              <w:tabs>
                <w:tab w:val="left" w:pos="540"/>
                <w:tab w:val="left" w:pos="1440"/>
              </w:tabs>
              <w:ind w:left="0"/>
              <w:rPr>
                <w:rFonts w:cs="Arial"/>
              </w:rPr>
            </w:pPr>
            <w:r w:rsidRPr="005D4E41">
              <w:rPr>
                <w:rFonts w:cs="Arial"/>
              </w:rPr>
              <w:t>4.00%</w:t>
            </w:r>
          </w:p>
        </w:tc>
      </w:tr>
      <w:tr w:rsidR="001C3433" w:rsidRPr="005D4E41" w:rsidTr="00D11A09">
        <w:tc>
          <w:tcPr>
            <w:tcW w:w="3122" w:type="dxa"/>
          </w:tcPr>
          <w:p w:rsidR="001C3433" w:rsidRPr="005D4E41" w:rsidRDefault="001C3433" w:rsidP="002775CD">
            <w:pPr>
              <w:pStyle w:val="ListParagraph"/>
              <w:tabs>
                <w:tab w:val="left" w:pos="540"/>
                <w:tab w:val="left" w:pos="1440"/>
              </w:tabs>
              <w:ind w:left="0"/>
              <w:rPr>
                <w:rFonts w:cs="Arial"/>
              </w:rPr>
            </w:pPr>
            <w:r w:rsidRPr="005D4E41">
              <w:rPr>
                <w:rFonts w:cs="Arial"/>
              </w:rPr>
              <w:t>Q15 – Approach to apprenticeships</w:t>
            </w:r>
          </w:p>
        </w:tc>
        <w:tc>
          <w:tcPr>
            <w:tcW w:w="1280" w:type="dxa"/>
          </w:tcPr>
          <w:p w:rsidR="001C3433" w:rsidRPr="005D4E41" w:rsidRDefault="001C3433" w:rsidP="002775CD">
            <w:pPr>
              <w:pStyle w:val="ListParagraph"/>
              <w:tabs>
                <w:tab w:val="left" w:pos="540"/>
                <w:tab w:val="left" w:pos="1440"/>
              </w:tabs>
              <w:ind w:left="0"/>
              <w:rPr>
                <w:rFonts w:cs="Arial"/>
              </w:rPr>
            </w:pPr>
            <w:r w:rsidRPr="005D4E41">
              <w:rPr>
                <w:rFonts w:cs="Arial"/>
              </w:rPr>
              <w:t>3.00%</w:t>
            </w:r>
          </w:p>
        </w:tc>
        <w:tc>
          <w:tcPr>
            <w:tcW w:w="1418" w:type="dxa"/>
          </w:tcPr>
          <w:p w:rsidR="001C3433" w:rsidRPr="005D4E41" w:rsidRDefault="001C3433" w:rsidP="002775CD">
            <w:pPr>
              <w:pStyle w:val="ListParagraph"/>
              <w:tabs>
                <w:tab w:val="left" w:pos="540"/>
                <w:tab w:val="left" w:pos="1440"/>
              </w:tabs>
              <w:ind w:left="0"/>
              <w:rPr>
                <w:rFonts w:cs="Arial"/>
              </w:rPr>
            </w:pPr>
            <w:r w:rsidRPr="005D4E41">
              <w:rPr>
                <w:rFonts w:cs="Arial"/>
              </w:rPr>
              <w:t>0.60%</w:t>
            </w:r>
          </w:p>
        </w:tc>
        <w:tc>
          <w:tcPr>
            <w:tcW w:w="1417" w:type="dxa"/>
          </w:tcPr>
          <w:p w:rsidR="001C3433" w:rsidRPr="005D4E41" w:rsidRDefault="001C3433" w:rsidP="002775CD">
            <w:pPr>
              <w:pStyle w:val="ListParagraph"/>
              <w:tabs>
                <w:tab w:val="left" w:pos="540"/>
                <w:tab w:val="left" w:pos="1440"/>
              </w:tabs>
              <w:ind w:left="0"/>
              <w:rPr>
                <w:rFonts w:cs="Arial"/>
              </w:rPr>
            </w:pPr>
            <w:r w:rsidRPr="005D4E41">
              <w:rPr>
                <w:rFonts w:cs="Arial"/>
              </w:rPr>
              <w:t>2.40%</w:t>
            </w:r>
          </w:p>
        </w:tc>
        <w:tc>
          <w:tcPr>
            <w:tcW w:w="1508" w:type="dxa"/>
          </w:tcPr>
          <w:p w:rsidR="001C3433" w:rsidRPr="005D4E41" w:rsidRDefault="001C3433" w:rsidP="002775CD">
            <w:pPr>
              <w:pStyle w:val="ListParagraph"/>
              <w:tabs>
                <w:tab w:val="left" w:pos="540"/>
                <w:tab w:val="left" w:pos="1440"/>
              </w:tabs>
              <w:ind w:left="0"/>
              <w:rPr>
                <w:rFonts w:cs="Arial"/>
              </w:rPr>
            </w:pPr>
            <w:r w:rsidRPr="005D4E41">
              <w:rPr>
                <w:rFonts w:cs="Arial"/>
              </w:rPr>
              <w:t>1.80%</w:t>
            </w:r>
          </w:p>
        </w:tc>
      </w:tr>
      <w:tr w:rsidR="001C3433" w:rsidRPr="005D4E41" w:rsidTr="00D11A09">
        <w:tc>
          <w:tcPr>
            <w:tcW w:w="3122" w:type="dxa"/>
          </w:tcPr>
          <w:p w:rsidR="001C3433" w:rsidRPr="005D4E41" w:rsidRDefault="001C3433" w:rsidP="002775CD">
            <w:pPr>
              <w:pStyle w:val="ListParagraph"/>
              <w:tabs>
                <w:tab w:val="left" w:pos="540"/>
                <w:tab w:val="left" w:pos="1440"/>
              </w:tabs>
              <w:ind w:left="0"/>
              <w:rPr>
                <w:rFonts w:cs="Arial"/>
              </w:rPr>
            </w:pPr>
            <w:r w:rsidRPr="005D4E41">
              <w:rPr>
                <w:rFonts w:cs="Arial"/>
              </w:rPr>
              <w:t>Q16 – Social Value</w:t>
            </w:r>
          </w:p>
        </w:tc>
        <w:tc>
          <w:tcPr>
            <w:tcW w:w="1280" w:type="dxa"/>
          </w:tcPr>
          <w:p w:rsidR="001C3433" w:rsidRPr="005D4E41" w:rsidRDefault="001C3433" w:rsidP="002775CD">
            <w:pPr>
              <w:pStyle w:val="ListParagraph"/>
              <w:tabs>
                <w:tab w:val="left" w:pos="540"/>
                <w:tab w:val="left" w:pos="1440"/>
              </w:tabs>
              <w:ind w:left="0"/>
              <w:rPr>
                <w:rFonts w:cs="Arial"/>
              </w:rPr>
            </w:pPr>
            <w:r w:rsidRPr="005D4E41">
              <w:rPr>
                <w:rFonts w:cs="Arial"/>
              </w:rPr>
              <w:t>5.00%</w:t>
            </w:r>
          </w:p>
        </w:tc>
        <w:tc>
          <w:tcPr>
            <w:tcW w:w="1418" w:type="dxa"/>
          </w:tcPr>
          <w:p w:rsidR="001C3433" w:rsidRPr="005D4E41" w:rsidRDefault="001C3433" w:rsidP="002775CD">
            <w:pPr>
              <w:pStyle w:val="ListParagraph"/>
              <w:tabs>
                <w:tab w:val="left" w:pos="540"/>
                <w:tab w:val="left" w:pos="1440"/>
              </w:tabs>
              <w:ind w:left="0"/>
              <w:rPr>
                <w:rFonts w:cs="Arial"/>
              </w:rPr>
            </w:pPr>
            <w:r w:rsidRPr="005D4E41">
              <w:rPr>
                <w:rFonts w:cs="Arial"/>
              </w:rPr>
              <w:t>3.00%</w:t>
            </w:r>
          </w:p>
        </w:tc>
        <w:tc>
          <w:tcPr>
            <w:tcW w:w="1417" w:type="dxa"/>
          </w:tcPr>
          <w:p w:rsidR="001C3433" w:rsidRPr="005D4E41" w:rsidRDefault="001C3433" w:rsidP="002775CD">
            <w:pPr>
              <w:pStyle w:val="ListParagraph"/>
              <w:tabs>
                <w:tab w:val="left" w:pos="540"/>
                <w:tab w:val="left" w:pos="1440"/>
              </w:tabs>
              <w:ind w:left="0"/>
              <w:rPr>
                <w:rFonts w:cs="Arial"/>
              </w:rPr>
            </w:pPr>
            <w:r w:rsidRPr="005D4E41">
              <w:rPr>
                <w:rFonts w:cs="Arial"/>
              </w:rPr>
              <w:t>4.00%</w:t>
            </w:r>
          </w:p>
        </w:tc>
        <w:tc>
          <w:tcPr>
            <w:tcW w:w="1508" w:type="dxa"/>
          </w:tcPr>
          <w:p w:rsidR="001C3433" w:rsidRPr="005D4E41" w:rsidRDefault="001C3433" w:rsidP="002775CD">
            <w:pPr>
              <w:pStyle w:val="ListParagraph"/>
              <w:tabs>
                <w:tab w:val="left" w:pos="540"/>
                <w:tab w:val="left" w:pos="1440"/>
              </w:tabs>
              <w:ind w:left="0"/>
              <w:rPr>
                <w:rFonts w:cs="Arial"/>
              </w:rPr>
            </w:pPr>
            <w:r w:rsidRPr="005D4E41">
              <w:rPr>
                <w:rFonts w:cs="Arial"/>
              </w:rPr>
              <w:t>3.00%</w:t>
            </w:r>
          </w:p>
        </w:tc>
      </w:tr>
      <w:tr w:rsidR="001C3433" w:rsidRPr="005D4E41" w:rsidTr="00D11A09">
        <w:tc>
          <w:tcPr>
            <w:tcW w:w="3122" w:type="dxa"/>
          </w:tcPr>
          <w:p w:rsidR="001C3433" w:rsidRPr="005D4E41" w:rsidRDefault="001C3433" w:rsidP="002775CD">
            <w:pPr>
              <w:pStyle w:val="ListParagraph"/>
              <w:tabs>
                <w:tab w:val="left" w:pos="540"/>
                <w:tab w:val="left" w:pos="1440"/>
              </w:tabs>
              <w:ind w:left="0"/>
              <w:rPr>
                <w:rFonts w:cs="Arial"/>
              </w:rPr>
            </w:pPr>
          </w:p>
        </w:tc>
        <w:tc>
          <w:tcPr>
            <w:tcW w:w="1280" w:type="dxa"/>
          </w:tcPr>
          <w:p w:rsidR="001C3433" w:rsidRPr="005D4E41" w:rsidRDefault="001C3433" w:rsidP="002775CD">
            <w:pPr>
              <w:pStyle w:val="ListParagraph"/>
              <w:tabs>
                <w:tab w:val="left" w:pos="540"/>
                <w:tab w:val="left" w:pos="1440"/>
              </w:tabs>
              <w:ind w:left="0"/>
              <w:rPr>
                <w:rFonts w:cs="Arial"/>
              </w:rPr>
            </w:pPr>
            <w:r w:rsidRPr="005D4E41">
              <w:rPr>
                <w:rFonts w:cs="Arial"/>
              </w:rPr>
              <w:t>70.00%</w:t>
            </w:r>
          </w:p>
        </w:tc>
        <w:tc>
          <w:tcPr>
            <w:tcW w:w="1418" w:type="dxa"/>
          </w:tcPr>
          <w:p w:rsidR="001C3433" w:rsidRPr="005D4E41" w:rsidRDefault="001C3433" w:rsidP="002775CD">
            <w:pPr>
              <w:pStyle w:val="ListParagraph"/>
              <w:tabs>
                <w:tab w:val="left" w:pos="540"/>
                <w:tab w:val="left" w:pos="1440"/>
              </w:tabs>
              <w:ind w:left="0"/>
              <w:rPr>
                <w:rFonts w:cs="Arial"/>
              </w:rPr>
            </w:pPr>
            <w:r w:rsidRPr="005D4E41">
              <w:rPr>
                <w:rFonts w:cs="Arial"/>
              </w:rPr>
              <w:t>40.80%</w:t>
            </w:r>
          </w:p>
        </w:tc>
        <w:tc>
          <w:tcPr>
            <w:tcW w:w="1417" w:type="dxa"/>
          </w:tcPr>
          <w:p w:rsidR="001C3433" w:rsidRPr="005D4E41" w:rsidRDefault="001C3433" w:rsidP="002775CD">
            <w:pPr>
              <w:pStyle w:val="ListParagraph"/>
              <w:tabs>
                <w:tab w:val="left" w:pos="540"/>
                <w:tab w:val="left" w:pos="1440"/>
              </w:tabs>
              <w:ind w:left="0"/>
              <w:rPr>
                <w:rFonts w:cs="Arial"/>
              </w:rPr>
            </w:pPr>
            <w:r w:rsidRPr="005D4E41">
              <w:rPr>
                <w:rFonts w:cs="Arial"/>
                <w:highlight w:val="green"/>
              </w:rPr>
              <w:t>57.20%</w:t>
            </w:r>
          </w:p>
        </w:tc>
        <w:tc>
          <w:tcPr>
            <w:tcW w:w="1508" w:type="dxa"/>
          </w:tcPr>
          <w:p w:rsidR="001C3433" w:rsidRPr="005D4E41" w:rsidRDefault="001C3433" w:rsidP="002775CD">
            <w:pPr>
              <w:pStyle w:val="ListParagraph"/>
              <w:tabs>
                <w:tab w:val="left" w:pos="540"/>
                <w:tab w:val="left" w:pos="1440"/>
              </w:tabs>
              <w:ind w:left="0"/>
              <w:rPr>
                <w:rFonts w:cs="Arial"/>
              </w:rPr>
            </w:pPr>
            <w:r w:rsidRPr="005D4E41">
              <w:rPr>
                <w:rFonts w:cs="Arial"/>
              </w:rPr>
              <w:t>49.40%</w:t>
            </w:r>
          </w:p>
        </w:tc>
      </w:tr>
    </w:tbl>
    <w:p w:rsidR="001C3433" w:rsidRPr="005D4E41" w:rsidRDefault="001C3433" w:rsidP="001C3433">
      <w:pPr>
        <w:pStyle w:val="ListParagraph"/>
        <w:tabs>
          <w:tab w:val="left" w:pos="567"/>
        </w:tabs>
        <w:ind w:left="567"/>
        <w:rPr>
          <w:rFonts w:cs="Arial"/>
        </w:rPr>
      </w:pPr>
    </w:p>
    <w:p w:rsidR="001C3433" w:rsidRPr="005D4E41" w:rsidRDefault="001C3433" w:rsidP="001C3433">
      <w:pPr>
        <w:pStyle w:val="ListParagraph"/>
        <w:tabs>
          <w:tab w:val="left" w:pos="567"/>
        </w:tabs>
        <w:ind w:left="567"/>
        <w:rPr>
          <w:rFonts w:cs="Arial"/>
        </w:rPr>
      </w:pPr>
    </w:p>
    <w:p w:rsidR="001C3433" w:rsidRPr="005D4E41" w:rsidRDefault="001C3433" w:rsidP="00D57B4D">
      <w:pPr>
        <w:pStyle w:val="ListParagraph"/>
        <w:numPr>
          <w:ilvl w:val="0"/>
          <w:numId w:val="30"/>
        </w:numPr>
        <w:tabs>
          <w:tab w:val="left" w:pos="567"/>
        </w:tabs>
        <w:ind w:left="567" w:hanging="567"/>
        <w:rPr>
          <w:rFonts w:cs="Arial"/>
        </w:rPr>
      </w:pPr>
      <w:r w:rsidRPr="005D4E41">
        <w:rPr>
          <w:rFonts w:cs="Arial"/>
        </w:rPr>
        <w:t>The Cost element was based on the provision of a composite day rate for the provision of 928 days across the potential 4 years of the contract, a weighting of 30% was available for this element of the process.</w:t>
      </w:r>
    </w:p>
    <w:p w:rsidR="001C3433" w:rsidRPr="005D4E41" w:rsidRDefault="001C3433" w:rsidP="001C3433">
      <w:pPr>
        <w:tabs>
          <w:tab w:val="left" w:pos="567"/>
        </w:tabs>
        <w:rPr>
          <w:rFonts w:cs="Arial"/>
        </w:rPr>
      </w:pPr>
    </w:p>
    <w:tbl>
      <w:tblPr>
        <w:tblStyle w:val="TableGrid"/>
        <w:tblW w:w="8745" w:type="dxa"/>
        <w:tblInd w:w="279" w:type="dxa"/>
        <w:tblLook w:val="04A0" w:firstRow="1" w:lastRow="0" w:firstColumn="1" w:lastColumn="0" w:noHBand="0" w:noVBand="1"/>
      </w:tblPr>
      <w:tblGrid>
        <w:gridCol w:w="3036"/>
        <w:gridCol w:w="1376"/>
        <w:gridCol w:w="1416"/>
        <w:gridCol w:w="1415"/>
        <w:gridCol w:w="1502"/>
      </w:tblGrid>
      <w:tr w:rsidR="00D11A09" w:rsidRPr="005D4E41" w:rsidTr="00C71704">
        <w:tc>
          <w:tcPr>
            <w:tcW w:w="8745" w:type="dxa"/>
            <w:gridSpan w:val="5"/>
            <w:shd w:val="clear" w:color="auto" w:fill="A6A6A6" w:themeFill="background1" w:themeFillShade="A6"/>
          </w:tcPr>
          <w:p w:rsidR="00D11A09" w:rsidRPr="005D4E41" w:rsidRDefault="00D11A09" w:rsidP="002775CD">
            <w:pPr>
              <w:pStyle w:val="ListParagraph"/>
              <w:tabs>
                <w:tab w:val="left" w:pos="540"/>
                <w:tab w:val="left" w:pos="1440"/>
              </w:tabs>
              <w:ind w:left="0"/>
              <w:rPr>
                <w:rFonts w:cs="Arial"/>
                <w:b/>
              </w:rPr>
            </w:pPr>
            <w:r w:rsidRPr="005D4E41">
              <w:rPr>
                <w:rFonts w:cs="Arial"/>
                <w:b/>
              </w:rPr>
              <w:t>Table 2 : Scoring of suppliers on cost</w:t>
            </w:r>
          </w:p>
        </w:tc>
      </w:tr>
      <w:tr w:rsidR="001C3433" w:rsidRPr="005D4E41" w:rsidTr="00AF2B9F">
        <w:tc>
          <w:tcPr>
            <w:tcW w:w="3122" w:type="dxa"/>
            <w:shd w:val="clear" w:color="auto" w:fill="A6A6A6" w:themeFill="background1" w:themeFillShade="A6"/>
          </w:tcPr>
          <w:p w:rsidR="001C3433" w:rsidRPr="005D4E41" w:rsidRDefault="001C3433" w:rsidP="002775CD">
            <w:pPr>
              <w:pStyle w:val="ListParagraph"/>
              <w:tabs>
                <w:tab w:val="left" w:pos="540"/>
                <w:tab w:val="left" w:pos="1440"/>
              </w:tabs>
              <w:ind w:left="0"/>
              <w:rPr>
                <w:rFonts w:cs="Arial"/>
                <w:b/>
              </w:rPr>
            </w:pPr>
            <w:r w:rsidRPr="005D4E41">
              <w:rPr>
                <w:rFonts w:cs="Arial"/>
                <w:b/>
              </w:rPr>
              <w:t>Supplier</w:t>
            </w:r>
          </w:p>
        </w:tc>
        <w:tc>
          <w:tcPr>
            <w:tcW w:w="1280" w:type="dxa"/>
            <w:shd w:val="clear" w:color="auto" w:fill="A6A6A6" w:themeFill="background1" w:themeFillShade="A6"/>
          </w:tcPr>
          <w:p w:rsidR="001C3433" w:rsidRPr="005D4E41" w:rsidRDefault="001C3433" w:rsidP="002775CD">
            <w:pPr>
              <w:pStyle w:val="ListParagraph"/>
              <w:tabs>
                <w:tab w:val="left" w:pos="540"/>
                <w:tab w:val="left" w:pos="1440"/>
              </w:tabs>
              <w:ind w:left="0"/>
              <w:rPr>
                <w:rFonts w:cs="Arial"/>
                <w:b/>
              </w:rPr>
            </w:pPr>
            <w:r w:rsidRPr="005D4E41">
              <w:rPr>
                <w:rFonts w:cs="Arial"/>
                <w:b/>
              </w:rPr>
              <w:t>Available Weighting</w:t>
            </w:r>
          </w:p>
        </w:tc>
        <w:tc>
          <w:tcPr>
            <w:tcW w:w="1418" w:type="dxa"/>
            <w:shd w:val="clear" w:color="auto" w:fill="A6A6A6" w:themeFill="background1" w:themeFillShade="A6"/>
          </w:tcPr>
          <w:p w:rsidR="001C3433" w:rsidRPr="005D4E41" w:rsidRDefault="001C3433" w:rsidP="002775CD">
            <w:pPr>
              <w:pStyle w:val="ListParagraph"/>
              <w:tabs>
                <w:tab w:val="left" w:pos="540"/>
                <w:tab w:val="left" w:pos="1440"/>
              </w:tabs>
              <w:ind w:left="0"/>
              <w:rPr>
                <w:rFonts w:cs="Arial"/>
                <w:b/>
              </w:rPr>
            </w:pPr>
            <w:r w:rsidRPr="005D4E41">
              <w:rPr>
                <w:rFonts w:cs="Arial"/>
                <w:b/>
              </w:rPr>
              <w:t>Supplier 1</w:t>
            </w:r>
          </w:p>
          <w:p w:rsidR="001C3433" w:rsidRPr="005D4E41" w:rsidRDefault="001C3433" w:rsidP="002775CD">
            <w:pPr>
              <w:pStyle w:val="ListParagraph"/>
              <w:tabs>
                <w:tab w:val="left" w:pos="540"/>
                <w:tab w:val="left" w:pos="1440"/>
              </w:tabs>
              <w:ind w:left="0"/>
              <w:rPr>
                <w:rFonts w:cs="Arial"/>
                <w:b/>
              </w:rPr>
            </w:pPr>
            <w:r w:rsidRPr="005D4E41">
              <w:rPr>
                <w:rFonts w:cs="Arial"/>
                <w:b/>
              </w:rPr>
              <w:t>Weighting</w:t>
            </w:r>
          </w:p>
        </w:tc>
        <w:tc>
          <w:tcPr>
            <w:tcW w:w="1417" w:type="dxa"/>
            <w:shd w:val="clear" w:color="auto" w:fill="A6A6A6" w:themeFill="background1" w:themeFillShade="A6"/>
          </w:tcPr>
          <w:p w:rsidR="001C3433" w:rsidRPr="005D4E41" w:rsidRDefault="001C3433" w:rsidP="002775CD">
            <w:pPr>
              <w:pStyle w:val="ListParagraph"/>
              <w:tabs>
                <w:tab w:val="left" w:pos="540"/>
                <w:tab w:val="left" w:pos="1440"/>
              </w:tabs>
              <w:ind w:left="0"/>
              <w:rPr>
                <w:rFonts w:cs="Arial"/>
                <w:b/>
              </w:rPr>
            </w:pPr>
            <w:r w:rsidRPr="005D4E41">
              <w:rPr>
                <w:rFonts w:cs="Arial"/>
                <w:b/>
              </w:rPr>
              <w:t>Supplier 2</w:t>
            </w:r>
          </w:p>
          <w:p w:rsidR="001C3433" w:rsidRPr="005D4E41" w:rsidRDefault="001C3433" w:rsidP="002775CD">
            <w:pPr>
              <w:pStyle w:val="ListParagraph"/>
              <w:tabs>
                <w:tab w:val="left" w:pos="540"/>
                <w:tab w:val="left" w:pos="1440"/>
              </w:tabs>
              <w:ind w:left="0"/>
              <w:rPr>
                <w:rFonts w:cs="Arial"/>
                <w:b/>
              </w:rPr>
            </w:pPr>
            <w:r w:rsidRPr="005D4E41">
              <w:rPr>
                <w:rFonts w:cs="Arial"/>
                <w:b/>
              </w:rPr>
              <w:t>Weighting</w:t>
            </w:r>
          </w:p>
        </w:tc>
        <w:tc>
          <w:tcPr>
            <w:tcW w:w="1508" w:type="dxa"/>
            <w:shd w:val="clear" w:color="auto" w:fill="A6A6A6" w:themeFill="background1" w:themeFillShade="A6"/>
          </w:tcPr>
          <w:p w:rsidR="001C3433" w:rsidRPr="005D4E41" w:rsidRDefault="001C3433" w:rsidP="002775CD">
            <w:pPr>
              <w:pStyle w:val="ListParagraph"/>
              <w:tabs>
                <w:tab w:val="left" w:pos="540"/>
                <w:tab w:val="left" w:pos="1440"/>
              </w:tabs>
              <w:ind w:left="0"/>
              <w:rPr>
                <w:rFonts w:cs="Arial"/>
                <w:b/>
              </w:rPr>
            </w:pPr>
            <w:r w:rsidRPr="005D4E41">
              <w:rPr>
                <w:rFonts w:cs="Arial"/>
                <w:b/>
              </w:rPr>
              <w:t>Supplier 3</w:t>
            </w:r>
          </w:p>
          <w:p w:rsidR="001C3433" w:rsidRPr="005D4E41" w:rsidRDefault="001C3433" w:rsidP="002775CD">
            <w:pPr>
              <w:pStyle w:val="ListParagraph"/>
              <w:tabs>
                <w:tab w:val="left" w:pos="540"/>
                <w:tab w:val="left" w:pos="1440"/>
              </w:tabs>
              <w:ind w:left="0"/>
              <w:rPr>
                <w:rFonts w:cs="Arial"/>
                <w:b/>
              </w:rPr>
            </w:pPr>
            <w:r w:rsidRPr="005D4E41">
              <w:rPr>
                <w:rFonts w:cs="Arial"/>
                <w:b/>
              </w:rPr>
              <w:t>Weighting</w:t>
            </w:r>
          </w:p>
        </w:tc>
      </w:tr>
      <w:tr w:rsidR="00AF2B9F" w:rsidRPr="005D4E41" w:rsidTr="002E2BBB">
        <w:tc>
          <w:tcPr>
            <w:tcW w:w="3122" w:type="dxa"/>
          </w:tcPr>
          <w:p w:rsidR="00AF2B9F" w:rsidRPr="005D4E41" w:rsidRDefault="00AF2B9F" w:rsidP="002775CD">
            <w:pPr>
              <w:pStyle w:val="ListParagraph"/>
              <w:tabs>
                <w:tab w:val="left" w:pos="540"/>
                <w:tab w:val="left" w:pos="1440"/>
              </w:tabs>
              <w:ind w:left="0"/>
              <w:rPr>
                <w:rFonts w:cs="Arial"/>
              </w:rPr>
            </w:pPr>
            <w:r w:rsidRPr="005D4E41">
              <w:rPr>
                <w:rFonts w:cs="Arial"/>
              </w:rPr>
              <w:t>Weighting</w:t>
            </w:r>
          </w:p>
        </w:tc>
        <w:tc>
          <w:tcPr>
            <w:tcW w:w="1280" w:type="dxa"/>
          </w:tcPr>
          <w:p w:rsidR="00AF2B9F" w:rsidRPr="005D4E41" w:rsidRDefault="00AF2B9F" w:rsidP="002775CD">
            <w:pPr>
              <w:pStyle w:val="ListParagraph"/>
              <w:tabs>
                <w:tab w:val="left" w:pos="540"/>
                <w:tab w:val="left" w:pos="1440"/>
              </w:tabs>
              <w:ind w:left="0"/>
              <w:rPr>
                <w:rFonts w:cs="Arial"/>
              </w:rPr>
            </w:pPr>
            <w:r w:rsidRPr="005D4E41">
              <w:rPr>
                <w:rFonts w:cs="Arial"/>
              </w:rPr>
              <w:t>30.00%</w:t>
            </w:r>
          </w:p>
        </w:tc>
        <w:tc>
          <w:tcPr>
            <w:tcW w:w="1418" w:type="dxa"/>
          </w:tcPr>
          <w:p w:rsidR="00AF2B9F" w:rsidRPr="005D4E41" w:rsidRDefault="00AF2B9F" w:rsidP="002775CD">
            <w:pPr>
              <w:pStyle w:val="ListParagraph"/>
              <w:tabs>
                <w:tab w:val="left" w:pos="540"/>
                <w:tab w:val="left" w:pos="1440"/>
              </w:tabs>
              <w:ind w:left="0"/>
              <w:rPr>
                <w:rFonts w:cs="Arial"/>
              </w:rPr>
            </w:pPr>
            <w:r w:rsidRPr="005D4E41">
              <w:rPr>
                <w:rFonts w:cs="Arial"/>
              </w:rPr>
              <w:t>25.94%</w:t>
            </w:r>
          </w:p>
        </w:tc>
        <w:tc>
          <w:tcPr>
            <w:tcW w:w="1417" w:type="dxa"/>
          </w:tcPr>
          <w:p w:rsidR="00AF2B9F" w:rsidRPr="005D4E41" w:rsidRDefault="00AF2B9F" w:rsidP="002775CD">
            <w:pPr>
              <w:pStyle w:val="ListParagraph"/>
              <w:tabs>
                <w:tab w:val="left" w:pos="540"/>
                <w:tab w:val="left" w:pos="1440"/>
              </w:tabs>
              <w:ind w:left="0"/>
              <w:rPr>
                <w:rFonts w:cs="Arial"/>
              </w:rPr>
            </w:pPr>
            <w:r w:rsidRPr="005D4E41">
              <w:rPr>
                <w:rFonts w:cs="Arial"/>
                <w:highlight w:val="green"/>
              </w:rPr>
              <w:t>30.00%</w:t>
            </w:r>
          </w:p>
        </w:tc>
        <w:tc>
          <w:tcPr>
            <w:tcW w:w="1508" w:type="dxa"/>
          </w:tcPr>
          <w:p w:rsidR="00AF2B9F" w:rsidRPr="005D4E41" w:rsidRDefault="00AF2B9F" w:rsidP="002775CD">
            <w:pPr>
              <w:pStyle w:val="ListParagraph"/>
              <w:tabs>
                <w:tab w:val="left" w:pos="540"/>
                <w:tab w:val="left" w:pos="1440"/>
              </w:tabs>
              <w:ind w:left="0"/>
              <w:rPr>
                <w:rFonts w:cs="Arial"/>
              </w:rPr>
            </w:pPr>
            <w:r w:rsidRPr="005D4E41">
              <w:rPr>
                <w:rFonts w:cs="Arial"/>
              </w:rPr>
              <w:t>24.90%</w:t>
            </w:r>
          </w:p>
        </w:tc>
      </w:tr>
    </w:tbl>
    <w:p w:rsidR="001C3433" w:rsidRPr="005D4E41" w:rsidRDefault="001C3433" w:rsidP="001C3433">
      <w:pPr>
        <w:tabs>
          <w:tab w:val="left" w:pos="567"/>
        </w:tabs>
        <w:rPr>
          <w:rFonts w:cs="Arial"/>
        </w:rPr>
      </w:pPr>
      <w:bookmarkStart w:id="0" w:name="_GoBack"/>
      <w:bookmarkEnd w:id="0"/>
    </w:p>
    <w:p w:rsidR="001C3433" w:rsidRPr="005D4E41" w:rsidRDefault="001C3433" w:rsidP="00D57B4D">
      <w:pPr>
        <w:pStyle w:val="ListParagraph"/>
        <w:numPr>
          <w:ilvl w:val="0"/>
          <w:numId w:val="30"/>
        </w:numPr>
        <w:tabs>
          <w:tab w:val="left" w:pos="567"/>
        </w:tabs>
        <w:ind w:left="567" w:hanging="567"/>
        <w:rPr>
          <w:rFonts w:cs="Arial"/>
        </w:rPr>
      </w:pPr>
      <w:r w:rsidRPr="005D4E41">
        <w:rPr>
          <w:rFonts w:cs="Arial"/>
        </w:rPr>
        <w:t xml:space="preserve">The procurement process has been undertaken in line with the council’s constitution and in line with </w:t>
      </w:r>
      <w:proofErr w:type="spellStart"/>
      <w:r w:rsidRPr="005D4E41">
        <w:rPr>
          <w:rFonts w:cs="Arial"/>
        </w:rPr>
        <w:t>OCHL</w:t>
      </w:r>
      <w:proofErr w:type="spellEnd"/>
      <w:r w:rsidRPr="005D4E41">
        <w:rPr>
          <w:rFonts w:cs="Arial"/>
        </w:rPr>
        <w:t xml:space="preserve"> and </w:t>
      </w:r>
      <w:proofErr w:type="spellStart"/>
      <w:r w:rsidRPr="005D4E41">
        <w:rPr>
          <w:rFonts w:cs="Arial"/>
        </w:rPr>
        <w:t>ODSL</w:t>
      </w:r>
      <w:proofErr w:type="spellEnd"/>
      <w:r w:rsidRPr="005D4E41">
        <w:rPr>
          <w:rFonts w:cs="Arial"/>
        </w:rPr>
        <w:t xml:space="preserve"> schemes of delegation and Public Procurement Regulations.</w:t>
      </w:r>
    </w:p>
    <w:p w:rsidR="001C3433" w:rsidRPr="005D4E41" w:rsidRDefault="001C3433" w:rsidP="001C3433">
      <w:pPr>
        <w:tabs>
          <w:tab w:val="left" w:pos="567"/>
        </w:tabs>
        <w:rPr>
          <w:rFonts w:cs="Arial"/>
        </w:rPr>
      </w:pPr>
    </w:p>
    <w:p w:rsidR="001C3433" w:rsidRPr="005D4E41" w:rsidRDefault="00894D75" w:rsidP="005D4E41">
      <w:pPr>
        <w:pStyle w:val="Heading1"/>
      </w:pPr>
      <w:r w:rsidRPr="005D4E41">
        <w:t>Result</w:t>
      </w:r>
    </w:p>
    <w:p w:rsidR="00AF2B9F" w:rsidRDefault="008A0F28" w:rsidP="008A0F28">
      <w:pPr>
        <w:pStyle w:val="ListParagraph"/>
        <w:numPr>
          <w:ilvl w:val="0"/>
          <w:numId w:val="30"/>
        </w:numPr>
        <w:tabs>
          <w:tab w:val="left" w:pos="567"/>
        </w:tabs>
        <w:ind w:left="567" w:hanging="567"/>
        <w:rPr>
          <w:rFonts w:cs="Arial"/>
        </w:rPr>
      </w:pPr>
      <w:r w:rsidRPr="005D4E41">
        <w:rPr>
          <w:rFonts w:cs="Arial"/>
        </w:rPr>
        <w:t xml:space="preserve">The contract for the provision of internal audit services has been awarded by OCC, </w:t>
      </w:r>
      <w:proofErr w:type="spellStart"/>
      <w:r w:rsidRPr="005D4E41">
        <w:rPr>
          <w:rFonts w:cs="Arial"/>
        </w:rPr>
        <w:t>ODSL</w:t>
      </w:r>
      <w:proofErr w:type="spellEnd"/>
      <w:r w:rsidRPr="005D4E41">
        <w:rPr>
          <w:rFonts w:cs="Arial"/>
        </w:rPr>
        <w:t xml:space="preserve"> and </w:t>
      </w:r>
      <w:proofErr w:type="spellStart"/>
      <w:r w:rsidRPr="005D4E41">
        <w:rPr>
          <w:rFonts w:cs="Arial"/>
        </w:rPr>
        <w:t>OCHL</w:t>
      </w:r>
      <w:proofErr w:type="spellEnd"/>
      <w:r w:rsidRPr="005D4E41">
        <w:rPr>
          <w:rFonts w:cs="Arial"/>
        </w:rPr>
        <w:t xml:space="preserve"> to </w:t>
      </w:r>
      <w:r w:rsidR="00B77E24" w:rsidRPr="005D4E41">
        <w:rPr>
          <w:rFonts w:cs="Arial"/>
        </w:rPr>
        <w:t xml:space="preserve">supplier 2 which is </w:t>
      </w:r>
      <w:proofErr w:type="spellStart"/>
      <w:r w:rsidRPr="005D4E41">
        <w:rPr>
          <w:rFonts w:cs="Arial"/>
        </w:rPr>
        <w:t>BDO</w:t>
      </w:r>
      <w:proofErr w:type="spellEnd"/>
      <w:r w:rsidRPr="005D4E41">
        <w:rPr>
          <w:rFonts w:cs="Arial"/>
        </w:rPr>
        <w:t xml:space="preserve"> LLP for a period of 3 years </w:t>
      </w:r>
      <w:r w:rsidRPr="005D4E41">
        <w:rPr>
          <w:rFonts w:cs="Arial"/>
        </w:rPr>
        <w:lastRenderedPageBreak/>
        <w:t>commencing on 1</w:t>
      </w:r>
      <w:r w:rsidRPr="005D4E41">
        <w:rPr>
          <w:rFonts w:cs="Arial"/>
          <w:vertAlign w:val="superscript"/>
        </w:rPr>
        <w:t>st</w:t>
      </w:r>
      <w:r w:rsidRPr="005D4E41">
        <w:rPr>
          <w:rFonts w:cs="Arial"/>
        </w:rPr>
        <w:t xml:space="preserve"> April 2021 until 31</w:t>
      </w:r>
      <w:r w:rsidRPr="005D4E41">
        <w:rPr>
          <w:rFonts w:cs="Arial"/>
          <w:vertAlign w:val="superscript"/>
        </w:rPr>
        <w:t>st</w:t>
      </w:r>
      <w:r w:rsidRPr="005D4E41">
        <w:rPr>
          <w:rFonts w:cs="Arial"/>
        </w:rPr>
        <w:t xml:space="preserve"> March 2024 with the option to increase for one further year until 31</w:t>
      </w:r>
      <w:r w:rsidRPr="005D4E41">
        <w:rPr>
          <w:rFonts w:cs="Arial"/>
          <w:vertAlign w:val="superscript"/>
        </w:rPr>
        <w:t>st</w:t>
      </w:r>
      <w:r w:rsidRPr="005D4E41">
        <w:rPr>
          <w:rFonts w:cs="Arial"/>
        </w:rPr>
        <w:t xml:space="preserve"> March 2025.</w:t>
      </w:r>
    </w:p>
    <w:p w:rsidR="005D4E41" w:rsidRPr="005D4E41" w:rsidRDefault="005D4E41" w:rsidP="005D4E41">
      <w:pPr>
        <w:pStyle w:val="ListParagraph"/>
        <w:tabs>
          <w:tab w:val="left" w:pos="567"/>
        </w:tabs>
        <w:ind w:left="567"/>
        <w:rPr>
          <w:rFonts w:cs="Arial"/>
        </w:rPr>
      </w:pPr>
    </w:p>
    <w:p w:rsidR="008A0F28" w:rsidRPr="005D4E41" w:rsidRDefault="008A0F28" w:rsidP="005D4E41">
      <w:pPr>
        <w:pStyle w:val="Heading1"/>
      </w:pPr>
      <w:r w:rsidRPr="005D4E41">
        <w:t>Financial Implications</w:t>
      </w:r>
    </w:p>
    <w:p w:rsidR="008A0F28" w:rsidRPr="005D4E41" w:rsidRDefault="008A0F28" w:rsidP="00D57B4D">
      <w:pPr>
        <w:pStyle w:val="ListParagraph"/>
        <w:numPr>
          <w:ilvl w:val="0"/>
          <w:numId w:val="30"/>
        </w:numPr>
        <w:tabs>
          <w:tab w:val="left" w:pos="567"/>
        </w:tabs>
        <w:ind w:left="567" w:hanging="567"/>
        <w:rPr>
          <w:rFonts w:cs="Arial"/>
        </w:rPr>
      </w:pPr>
      <w:r w:rsidRPr="005D4E41">
        <w:rPr>
          <w:rFonts w:cs="Arial"/>
        </w:rPr>
        <w:t xml:space="preserve">The </w:t>
      </w:r>
      <w:r w:rsidR="002C5EC4" w:rsidRPr="005D4E41">
        <w:rPr>
          <w:rFonts w:cs="Arial"/>
        </w:rPr>
        <w:t xml:space="preserve">annual </w:t>
      </w:r>
      <w:r w:rsidR="00B77E24" w:rsidRPr="005D4E41">
        <w:rPr>
          <w:rFonts w:cs="Arial"/>
        </w:rPr>
        <w:t>cost</w:t>
      </w:r>
      <w:r w:rsidR="007D19FA" w:rsidRPr="005D4E41">
        <w:rPr>
          <w:rFonts w:cs="Arial"/>
        </w:rPr>
        <w:t xml:space="preserve"> </w:t>
      </w:r>
      <w:r w:rsidR="002C5EC4" w:rsidRPr="005D4E41">
        <w:rPr>
          <w:rFonts w:cs="Arial"/>
        </w:rPr>
        <w:t xml:space="preserve">for audit services </w:t>
      </w:r>
      <w:r w:rsidR="007D19FA" w:rsidRPr="005D4E41">
        <w:rPr>
          <w:rFonts w:cs="Arial"/>
        </w:rPr>
        <w:t xml:space="preserve">is </w:t>
      </w:r>
      <w:r w:rsidR="002C5EC4" w:rsidRPr="005D4E41">
        <w:rPr>
          <w:rFonts w:cs="Arial"/>
        </w:rPr>
        <w:t xml:space="preserve">currently </w:t>
      </w:r>
      <w:r w:rsidR="00B77E24" w:rsidRPr="005D4E41">
        <w:rPr>
          <w:rFonts w:cs="Arial"/>
        </w:rPr>
        <w:t xml:space="preserve">around £59,200for the council based on 185 days. In addition to this there are 25 days </w:t>
      </w:r>
      <w:r w:rsidR="007D19FA" w:rsidRPr="005D4E41">
        <w:rPr>
          <w:rFonts w:cs="Arial"/>
        </w:rPr>
        <w:t xml:space="preserve">which are recharged back to </w:t>
      </w:r>
      <w:proofErr w:type="spellStart"/>
      <w:r w:rsidR="007D19FA" w:rsidRPr="005D4E41">
        <w:rPr>
          <w:rFonts w:cs="Arial"/>
        </w:rPr>
        <w:t>ODS</w:t>
      </w:r>
      <w:r w:rsidR="00B77E24" w:rsidRPr="005D4E41">
        <w:rPr>
          <w:rFonts w:cs="Arial"/>
        </w:rPr>
        <w:t>L</w:t>
      </w:r>
      <w:proofErr w:type="spellEnd"/>
      <w:r w:rsidR="007D19FA" w:rsidRPr="005D4E41">
        <w:rPr>
          <w:rFonts w:cs="Arial"/>
        </w:rPr>
        <w:t xml:space="preserve"> via a S</w:t>
      </w:r>
      <w:r w:rsidR="00B77E24" w:rsidRPr="005D4E41">
        <w:rPr>
          <w:rFonts w:cs="Arial"/>
        </w:rPr>
        <w:t xml:space="preserve">ervice </w:t>
      </w:r>
      <w:r w:rsidR="007D19FA" w:rsidRPr="005D4E41">
        <w:rPr>
          <w:rFonts w:cs="Arial"/>
        </w:rPr>
        <w:t>L</w:t>
      </w:r>
      <w:r w:rsidR="00B77E24" w:rsidRPr="005D4E41">
        <w:rPr>
          <w:rFonts w:cs="Arial"/>
        </w:rPr>
        <w:t xml:space="preserve">evel </w:t>
      </w:r>
      <w:r w:rsidR="007D19FA" w:rsidRPr="005D4E41">
        <w:rPr>
          <w:rFonts w:cs="Arial"/>
        </w:rPr>
        <w:t>A</w:t>
      </w:r>
      <w:r w:rsidR="00B77E24" w:rsidRPr="005D4E41">
        <w:rPr>
          <w:rFonts w:cs="Arial"/>
        </w:rPr>
        <w:t>greement</w:t>
      </w:r>
      <w:r w:rsidR="007D19FA" w:rsidRPr="005D4E41">
        <w:rPr>
          <w:rFonts w:cs="Arial"/>
        </w:rPr>
        <w:t>.</w:t>
      </w:r>
      <w:r w:rsidR="002C5EC4" w:rsidRPr="005D4E41">
        <w:rPr>
          <w:rFonts w:cs="Arial"/>
        </w:rPr>
        <w:t xml:space="preserve"> </w:t>
      </w:r>
      <w:r w:rsidR="007D19FA" w:rsidRPr="005D4E41">
        <w:rPr>
          <w:rFonts w:cs="Arial"/>
        </w:rPr>
        <w:t xml:space="preserve">  </w:t>
      </w:r>
    </w:p>
    <w:p w:rsidR="007D19FA" w:rsidRPr="005D4E41" w:rsidRDefault="007D19FA" w:rsidP="007D19FA">
      <w:pPr>
        <w:pStyle w:val="ListParagraph"/>
        <w:tabs>
          <w:tab w:val="left" w:pos="567"/>
        </w:tabs>
        <w:ind w:left="567"/>
        <w:rPr>
          <w:rFonts w:cs="Arial"/>
        </w:rPr>
      </w:pPr>
    </w:p>
    <w:p w:rsidR="007D19FA" w:rsidRPr="005D4E41" w:rsidRDefault="007D19FA" w:rsidP="00D57B4D">
      <w:pPr>
        <w:pStyle w:val="ListParagraph"/>
        <w:numPr>
          <w:ilvl w:val="0"/>
          <w:numId w:val="30"/>
        </w:numPr>
        <w:tabs>
          <w:tab w:val="left" w:pos="567"/>
        </w:tabs>
        <w:ind w:left="567" w:hanging="567"/>
        <w:rPr>
          <w:rFonts w:cs="Arial"/>
        </w:rPr>
      </w:pPr>
      <w:r w:rsidRPr="005D4E41">
        <w:rPr>
          <w:rFonts w:cs="Arial"/>
        </w:rPr>
        <w:t>The number of audit days that bidders were asked to price for were as follows, but these may be flexed and changed once the contract starts:</w:t>
      </w:r>
    </w:p>
    <w:p w:rsidR="007D19FA" w:rsidRPr="005D4E41" w:rsidRDefault="007D19FA" w:rsidP="007D19FA">
      <w:pPr>
        <w:pStyle w:val="ListParagraph"/>
        <w:rPr>
          <w:rFonts w:cs="Arial"/>
        </w:rPr>
      </w:pPr>
    </w:p>
    <w:p w:rsidR="007D19FA" w:rsidRPr="005D4E41" w:rsidRDefault="007D19FA" w:rsidP="007D19FA">
      <w:pPr>
        <w:pStyle w:val="ListParagraph"/>
        <w:numPr>
          <w:ilvl w:val="0"/>
          <w:numId w:val="29"/>
        </w:numPr>
        <w:tabs>
          <w:tab w:val="left" w:pos="567"/>
        </w:tabs>
        <w:rPr>
          <w:rFonts w:cs="Arial"/>
        </w:rPr>
      </w:pPr>
      <w:r w:rsidRPr="005D4E41">
        <w:rPr>
          <w:rFonts w:cs="Arial"/>
        </w:rPr>
        <w:t>OCC – minimum number of days 185</w:t>
      </w:r>
    </w:p>
    <w:p w:rsidR="007D19FA" w:rsidRPr="005D4E41" w:rsidRDefault="007D19FA" w:rsidP="007D19FA">
      <w:pPr>
        <w:pStyle w:val="ListParagraph"/>
        <w:numPr>
          <w:ilvl w:val="0"/>
          <w:numId w:val="29"/>
        </w:numPr>
        <w:tabs>
          <w:tab w:val="left" w:pos="567"/>
        </w:tabs>
        <w:rPr>
          <w:rFonts w:cs="Arial"/>
        </w:rPr>
      </w:pPr>
      <w:proofErr w:type="spellStart"/>
      <w:r w:rsidRPr="005D4E41">
        <w:rPr>
          <w:rFonts w:cs="Arial"/>
        </w:rPr>
        <w:t>ODS</w:t>
      </w:r>
      <w:r w:rsidR="00B77E24" w:rsidRPr="005D4E41">
        <w:rPr>
          <w:rFonts w:cs="Arial"/>
        </w:rPr>
        <w:t>L</w:t>
      </w:r>
      <w:proofErr w:type="spellEnd"/>
      <w:r w:rsidRPr="005D4E41">
        <w:rPr>
          <w:rFonts w:cs="Arial"/>
        </w:rPr>
        <w:t xml:space="preserve"> – minimum number of days 35</w:t>
      </w:r>
    </w:p>
    <w:p w:rsidR="007D19FA" w:rsidRPr="005D4E41" w:rsidRDefault="007D19FA" w:rsidP="007D19FA">
      <w:pPr>
        <w:pStyle w:val="ListParagraph"/>
        <w:numPr>
          <w:ilvl w:val="0"/>
          <w:numId w:val="29"/>
        </w:numPr>
        <w:tabs>
          <w:tab w:val="left" w:pos="567"/>
        </w:tabs>
        <w:rPr>
          <w:rFonts w:cs="Arial"/>
        </w:rPr>
      </w:pPr>
      <w:proofErr w:type="spellStart"/>
      <w:r w:rsidRPr="005D4E41">
        <w:rPr>
          <w:rFonts w:cs="Arial"/>
        </w:rPr>
        <w:t>OCHL</w:t>
      </w:r>
      <w:proofErr w:type="spellEnd"/>
      <w:r w:rsidRPr="005D4E41">
        <w:rPr>
          <w:rFonts w:cs="Arial"/>
        </w:rPr>
        <w:t xml:space="preserve"> – minimum number of days 12</w:t>
      </w:r>
    </w:p>
    <w:p w:rsidR="007D19FA" w:rsidRPr="005D4E41" w:rsidRDefault="007D19FA" w:rsidP="007D19FA">
      <w:pPr>
        <w:pStyle w:val="ListParagraph"/>
        <w:tabs>
          <w:tab w:val="left" w:pos="567"/>
        </w:tabs>
        <w:ind w:left="1287"/>
        <w:rPr>
          <w:rFonts w:cs="Arial"/>
        </w:rPr>
      </w:pPr>
    </w:p>
    <w:p w:rsidR="007D19FA" w:rsidRPr="005D4E41" w:rsidRDefault="007D19FA" w:rsidP="00D57B4D">
      <w:pPr>
        <w:pStyle w:val="ListParagraph"/>
        <w:numPr>
          <w:ilvl w:val="0"/>
          <w:numId w:val="30"/>
        </w:numPr>
        <w:tabs>
          <w:tab w:val="left" w:pos="567"/>
        </w:tabs>
        <w:ind w:left="567" w:hanging="567"/>
        <w:rPr>
          <w:rFonts w:cs="Arial"/>
        </w:rPr>
      </w:pPr>
      <w:r w:rsidRPr="005D4E41">
        <w:rPr>
          <w:rFonts w:cs="Arial"/>
        </w:rPr>
        <w:t xml:space="preserve">Based on the </w:t>
      </w:r>
      <w:r w:rsidR="00BC4AEF" w:rsidRPr="005D4E41">
        <w:rPr>
          <w:rFonts w:cs="Arial"/>
        </w:rPr>
        <w:t xml:space="preserve">day rate </w:t>
      </w:r>
      <w:r w:rsidRPr="005D4E41">
        <w:rPr>
          <w:rFonts w:cs="Arial"/>
        </w:rPr>
        <w:t>provided by the preferred bidder</w:t>
      </w:r>
      <w:r w:rsidR="00BC4AEF" w:rsidRPr="005D4E41">
        <w:rPr>
          <w:rFonts w:cs="Arial"/>
        </w:rPr>
        <w:t>, the annual cost to the Council</w:t>
      </w:r>
      <w:r w:rsidR="00F57FA0" w:rsidRPr="005D4E41">
        <w:rPr>
          <w:rFonts w:cs="Arial"/>
        </w:rPr>
        <w:t xml:space="preserve"> for the minimum number of days would be approximately £77k, this is a significant increase in the budget but 185 days is deemed to be the minimum appropriate level of audit days by the Section 151 officer to give reasonable assurance of internal controls in operation.</w:t>
      </w:r>
      <w:r w:rsidR="00B77E24" w:rsidRPr="005D4E41">
        <w:rPr>
          <w:rFonts w:cs="Arial"/>
        </w:rPr>
        <w:t xml:space="preserve"> The shortfall in the budget will be met from </w:t>
      </w:r>
      <w:proofErr w:type="spellStart"/>
      <w:r w:rsidR="00B77E24" w:rsidRPr="005D4E41">
        <w:rPr>
          <w:rFonts w:cs="Arial"/>
        </w:rPr>
        <w:t>virements</w:t>
      </w:r>
      <w:proofErr w:type="spellEnd"/>
      <w:r w:rsidR="00B77E24" w:rsidRPr="005D4E41">
        <w:rPr>
          <w:rFonts w:cs="Arial"/>
        </w:rPr>
        <w:t xml:space="preserve"> elsewhere in the Financial Services budget and therefore will have no immediate impact of the overall budget.</w:t>
      </w:r>
    </w:p>
    <w:p w:rsidR="00F57FA0" w:rsidRPr="005D4E41" w:rsidRDefault="00F57FA0" w:rsidP="00F57FA0">
      <w:pPr>
        <w:pStyle w:val="ListParagraph"/>
        <w:tabs>
          <w:tab w:val="left" w:pos="567"/>
        </w:tabs>
        <w:ind w:left="567"/>
        <w:rPr>
          <w:rFonts w:cs="Arial"/>
        </w:rPr>
      </w:pPr>
    </w:p>
    <w:p w:rsidR="00F57FA0" w:rsidRPr="005D4E41" w:rsidRDefault="00F57FA0" w:rsidP="00D57B4D">
      <w:pPr>
        <w:pStyle w:val="ListParagraph"/>
        <w:numPr>
          <w:ilvl w:val="0"/>
          <w:numId w:val="30"/>
        </w:numPr>
        <w:tabs>
          <w:tab w:val="left" w:pos="567"/>
        </w:tabs>
        <w:ind w:left="567" w:hanging="567"/>
        <w:rPr>
          <w:rFonts w:cs="Arial"/>
        </w:rPr>
      </w:pPr>
      <w:r w:rsidRPr="005D4E41">
        <w:rPr>
          <w:rFonts w:cs="Arial"/>
        </w:rPr>
        <w:t xml:space="preserve">The expected costs for the minimum </w:t>
      </w:r>
      <w:r w:rsidR="00D11A09" w:rsidRPr="005D4E41">
        <w:rPr>
          <w:rFonts w:cs="Arial"/>
        </w:rPr>
        <w:t xml:space="preserve">annual </w:t>
      </w:r>
      <w:r w:rsidRPr="005D4E41">
        <w:rPr>
          <w:rFonts w:cs="Arial"/>
        </w:rPr>
        <w:t xml:space="preserve">number of days for </w:t>
      </w:r>
      <w:proofErr w:type="spellStart"/>
      <w:r w:rsidRPr="005D4E41">
        <w:rPr>
          <w:rFonts w:cs="Arial"/>
        </w:rPr>
        <w:t>ODS</w:t>
      </w:r>
      <w:r w:rsidR="00D11A09" w:rsidRPr="005D4E41">
        <w:rPr>
          <w:rFonts w:cs="Arial"/>
        </w:rPr>
        <w:t>L</w:t>
      </w:r>
      <w:proofErr w:type="spellEnd"/>
      <w:r w:rsidRPr="005D4E41">
        <w:rPr>
          <w:rFonts w:cs="Arial"/>
        </w:rPr>
        <w:t xml:space="preserve"> is expected to be approx. £14k and for </w:t>
      </w:r>
      <w:proofErr w:type="spellStart"/>
      <w:r w:rsidRPr="005D4E41">
        <w:rPr>
          <w:rFonts w:cs="Arial"/>
        </w:rPr>
        <w:t>OCH</w:t>
      </w:r>
      <w:r w:rsidR="00D11A09" w:rsidRPr="005D4E41">
        <w:rPr>
          <w:rFonts w:cs="Arial"/>
        </w:rPr>
        <w:t>L</w:t>
      </w:r>
      <w:proofErr w:type="spellEnd"/>
      <w:r w:rsidRPr="005D4E41">
        <w:rPr>
          <w:rFonts w:cs="Arial"/>
        </w:rPr>
        <w:t xml:space="preserve"> approx. £14k. </w:t>
      </w:r>
    </w:p>
    <w:p w:rsidR="00F57FA0" w:rsidRPr="005D4E41" w:rsidRDefault="00F57FA0" w:rsidP="005D4E41">
      <w:pPr>
        <w:tabs>
          <w:tab w:val="left" w:pos="567"/>
        </w:tabs>
        <w:rPr>
          <w:rFonts w:cs="Arial"/>
        </w:rPr>
      </w:pPr>
    </w:p>
    <w:p w:rsidR="008A0F28" w:rsidRPr="005D4E41" w:rsidRDefault="008A0F28" w:rsidP="005D4E41">
      <w:pPr>
        <w:pStyle w:val="Heading1"/>
      </w:pPr>
      <w:r w:rsidRPr="005D4E41">
        <w:t>Legal implications</w:t>
      </w:r>
    </w:p>
    <w:p w:rsidR="008A0F28" w:rsidRPr="005D4E41" w:rsidRDefault="006532BB" w:rsidP="00D57B4D">
      <w:pPr>
        <w:pStyle w:val="ListParagraph"/>
        <w:numPr>
          <w:ilvl w:val="0"/>
          <w:numId w:val="30"/>
        </w:numPr>
        <w:tabs>
          <w:tab w:val="left" w:pos="567"/>
        </w:tabs>
        <w:ind w:left="567" w:hanging="567"/>
        <w:rPr>
          <w:rFonts w:cs="Arial"/>
        </w:rPr>
      </w:pPr>
      <w:r w:rsidRPr="005D4E41">
        <w:rPr>
          <w:rFonts w:cs="Arial"/>
        </w:rPr>
        <w:t xml:space="preserve">The requirement for the council to undertake an adequate and effective internal audit service is contained within Section 5 of the </w:t>
      </w:r>
      <w:proofErr w:type="spellStart"/>
      <w:r w:rsidRPr="005D4E41">
        <w:rPr>
          <w:rFonts w:cs="Arial"/>
          <w:i/>
          <w:lang w:eastAsia="en-GB"/>
        </w:rPr>
        <w:t>The</w:t>
      </w:r>
      <w:proofErr w:type="spellEnd"/>
      <w:r w:rsidRPr="005D4E41">
        <w:rPr>
          <w:rFonts w:cs="Arial"/>
          <w:i/>
          <w:lang w:eastAsia="en-GB"/>
        </w:rPr>
        <w:t xml:space="preserve"> Accounts &amp; Audit (England</w:t>
      </w:r>
      <w:proofErr w:type="gramStart"/>
      <w:r w:rsidRPr="005D4E41">
        <w:rPr>
          <w:rFonts w:cs="Arial"/>
          <w:i/>
          <w:lang w:eastAsia="en-GB"/>
        </w:rPr>
        <w:t>)  Regulations</w:t>
      </w:r>
      <w:proofErr w:type="gramEnd"/>
      <w:r w:rsidRPr="005D4E41">
        <w:rPr>
          <w:rFonts w:cs="Arial"/>
          <w:i/>
          <w:lang w:eastAsia="en-GB"/>
        </w:rPr>
        <w:t xml:space="preserve"> (2015). The tender undertaken will ensure that this legal requirement continues to be met.</w:t>
      </w:r>
    </w:p>
    <w:p w:rsidR="008A0F28" w:rsidRPr="005D4E41" w:rsidRDefault="008A0F28" w:rsidP="008A0F28">
      <w:pPr>
        <w:pStyle w:val="ListParagraph"/>
        <w:tabs>
          <w:tab w:val="left" w:pos="567"/>
        </w:tabs>
        <w:ind w:left="567"/>
        <w:rPr>
          <w:rFonts w:cs="Arial"/>
        </w:rPr>
      </w:pPr>
    </w:p>
    <w:p w:rsidR="008A0F28" w:rsidRPr="005D4E41" w:rsidRDefault="008A0F28" w:rsidP="005D4E41">
      <w:pPr>
        <w:pStyle w:val="Heading1"/>
      </w:pPr>
      <w:r w:rsidRPr="005D4E41">
        <w:t>Risk implications</w:t>
      </w:r>
    </w:p>
    <w:p w:rsidR="008A0F28" w:rsidRPr="005D4E41" w:rsidRDefault="006532BB" w:rsidP="00D57B4D">
      <w:pPr>
        <w:pStyle w:val="ListParagraph"/>
        <w:numPr>
          <w:ilvl w:val="0"/>
          <w:numId w:val="30"/>
        </w:numPr>
        <w:tabs>
          <w:tab w:val="left" w:pos="567"/>
        </w:tabs>
        <w:ind w:left="567" w:hanging="567"/>
        <w:rPr>
          <w:rFonts w:cs="Arial"/>
        </w:rPr>
      </w:pPr>
      <w:r w:rsidRPr="005D4E41">
        <w:rPr>
          <w:rFonts w:cs="Arial"/>
        </w:rPr>
        <w:t>The requirement to maintain an adequate and effective internal audit service is enshrined in legislation. Equally the absence of a service would present a clear risk to the Co</w:t>
      </w:r>
      <w:r w:rsidR="00B77E24" w:rsidRPr="005D4E41">
        <w:rPr>
          <w:rFonts w:cs="Arial"/>
        </w:rPr>
        <w:t>uncil from potential brea</w:t>
      </w:r>
      <w:r w:rsidRPr="005D4E41">
        <w:rPr>
          <w:rFonts w:cs="Arial"/>
        </w:rPr>
        <w:t>ches in financial management and internal control which</w:t>
      </w:r>
      <w:r w:rsidR="00B77E24" w:rsidRPr="005D4E41">
        <w:rPr>
          <w:rFonts w:cs="Arial"/>
        </w:rPr>
        <w:t xml:space="preserve"> is essential to the duty of the Section 151 Officer</w:t>
      </w:r>
    </w:p>
    <w:p w:rsidR="00283440" w:rsidRPr="005D4E41" w:rsidRDefault="00283440" w:rsidP="00A414C5">
      <w:pPr>
        <w:ind w:right="43"/>
        <w:jc w:val="both"/>
        <w:rPr>
          <w:rFonts w:cs="Arial"/>
          <w:color w:val="000000"/>
          <w:kern w:val="28"/>
          <w:lang w:eastAsia="en-GB"/>
        </w:rPr>
      </w:pPr>
    </w:p>
    <w:p w:rsidR="00283440" w:rsidRPr="005D4E41" w:rsidRDefault="00283440" w:rsidP="00A414C5">
      <w:pPr>
        <w:ind w:right="43"/>
        <w:jc w:val="both"/>
        <w:rPr>
          <w:rFonts w:cs="Arial"/>
          <w:color w:val="000000"/>
          <w:kern w:val="28"/>
          <w:lang w:eastAsia="en-GB"/>
        </w:rPr>
      </w:pPr>
    </w:p>
    <w:tbl>
      <w:tblPr>
        <w:tblW w:w="708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83"/>
      </w:tblGrid>
      <w:tr w:rsidR="00766105" w:rsidRPr="005D4E41" w:rsidTr="005D4E41">
        <w:trPr>
          <w:trHeight w:val="270"/>
        </w:trPr>
        <w:tc>
          <w:tcPr>
            <w:tcW w:w="7083" w:type="dxa"/>
          </w:tcPr>
          <w:p w:rsidR="00766105" w:rsidRPr="005D4E41" w:rsidRDefault="00766105" w:rsidP="00195171">
            <w:pPr>
              <w:tabs>
                <w:tab w:val="left" w:pos="720"/>
                <w:tab w:val="left" w:pos="1440"/>
                <w:tab w:val="left" w:pos="2160"/>
                <w:tab w:val="left" w:pos="2880"/>
              </w:tabs>
              <w:rPr>
                <w:rFonts w:cs="Arial"/>
              </w:rPr>
            </w:pPr>
            <w:r w:rsidRPr="005D4E41">
              <w:rPr>
                <w:rFonts w:cs="Arial"/>
                <w:b/>
                <w:bCs/>
              </w:rPr>
              <w:t>Name and contact details of author:-</w:t>
            </w:r>
          </w:p>
        </w:tc>
      </w:tr>
      <w:tr w:rsidR="00766105" w:rsidRPr="005D4E41" w:rsidTr="005D4E41">
        <w:trPr>
          <w:trHeight w:val="285"/>
        </w:trPr>
        <w:tc>
          <w:tcPr>
            <w:tcW w:w="7083" w:type="dxa"/>
          </w:tcPr>
          <w:p w:rsidR="00766105" w:rsidRPr="005D4E41" w:rsidRDefault="00766105" w:rsidP="00766105">
            <w:pPr>
              <w:tabs>
                <w:tab w:val="left" w:pos="720"/>
                <w:tab w:val="left" w:pos="1440"/>
                <w:tab w:val="left" w:pos="2160"/>
                <w:tab w:val="left" w:pos="2880"/>
              </w:tabs>
              <w:rPr>
                <w:rFonts w:cs="Arial"/>
              </w:rPr>
            </w:pPr>
            <w:r w:rsidRPr="005D4E41">
              <w:rPr>
                <w:rFonts w:cs="Arial"/>
              </w:rPr>
              <w:t xml:space="preserve">Name:  </w:t>
            </w:r>
            <w:r w:rsidR="00D11A09" w:rsidRPr="005D4E41">
              <w:rPr>
                <w:rFonts w:cs="Arial"/>
              </w:rPr>
              <w:t xml:space="preserve">Anna </w:t>
            </w:r>
            <w:proofErr w:type="spellStart"/>
            <w:r w:rsidR="00D11A09" w:rsidRPr="005D4E41">
              <w:rPr>
                <w:rFonts w:cs="Arial"/>
              </w:rPr>
              <w:t>Winship</w:t>
            </w:r>
            <w:proofErr w:type="spellEnd"/>
          </w:p>
        </w:tc>
      </w:tr>
      <w:tr w:rsidR="00766105" w:rsidRPr="005D4E41" w:rsidTr="005D4E41">
        <w:trPr>
          <w:trHeight w:val="270"/>
        </w:trPr>
        <w:tc>
          <w:tcPr>
            <w:tcW w:w="7083" w:type="dxa"/>
          </w:tcPr>
          <w:p w:rsidR="00766105" w:rsidRPr="005D4E41" w:rsidRDefault="00766105" w:rsidP="00D11A09">
            <w:pPr>
              <w:tabs>
                <w:tab w:val="left" w:pos="720"/>
                <w:tab w:val="left" w:pos="1440"/>
                <w:tab w:val="left" w:pos="2160"/>
                <w:tab w:val="left" w:pos="2880"/>
              </w:tabs>
              <w:rPr>
                <w:rFonts w:cs="Arial"/>
              </w:rPr>
            </w:pPr>
            <w:r w:rsidRPr="005D4E41">
              <w:rPr>
                <w:rFonts w:cs="Arial"/>
              </w:rPr>
              <w:t xml:space="preserve">Job title:  </w:t>
            </w:r>
            <w:r w:rsidR="00D11A09" w:rsidRPr="005D4E41">
              <w:rPr>
                <w:rFonts w:cs="Arial"/>
              </w:rPr>
              <w:t>Management Accounting Manager</w:t>
            </w:r>
          </w:p>
        </w:tc>
      </w:tr>
      <w:tr w:rsidR="00766105" w:rsidRPr="005D4E41" w:rsidTr="005D4E41">
        <w:trPr>
          <w:trHeight w:val="270"/>
        </w:trPr>
        <w:tc>
          <w:tcPr>
            <w:tcW w:w="7083" w:type="dxa"/>
          </w:tcPr>
          <w:p w:rsidR="00766105" w:rsidRPr="005D4E41" w:rsidRDefault="00766105" w:rsidP="00B3340C">
            <w:pPr>
              <w:tabs>
                <w:tab w:val="left" w:pos="720"/>
                <w:tab w:val="left" w:pos="1440"/>
                <w:tab w:val="left" w:pos="2160"/>
                <w:tab w:val="left" w:pos="2880"/>
              </w:tabs>
              <w:rPr>
                <w:rFonts w:cs="Arial"/>
              </w:rPr>
            </w:pPr>
            <w:r w:rsidRPr="005D4E41">
              <w:rPr>
                <w:rFonts w:cs="Arial"/>
              </w:rPr>
              <w:t>Service Area / Department:  Financ</w:t>
            </w:r>
            <w:r w:rsidR="00B3340C" w:rsidRPr="005D4E41">
              <w:rPr>
                <w:rFonts w:cs="Arial"/>
              </w:rPr>
              <w:t>ial Services</w:t>
            </w:r>
            <w:r w:rsidRPr="005D4E41">
              <w:rPr>
                <w:rFonts w:cs="Arial"/>
              </w:rPr>
              <w:t xml:space="preserve">, </w:t>
            </w:r>
          </w:p>
        </w:tc>
      </w:tr>
      <w:tr w:rsidR="00766105" w:rsidRPr="005D4E41" w:rsidTr="005D4E41">
        <w:trPr>
          <w:trHeight w:val="570"/>
        </w:trPr>
        <w:tc>
          <w:tcPr>
            <w:tcW w:w="7083" w:type="dxa"/>
          </w:tcPr>
          <w:p w:rsidR="00766105" w:rsidRPr="005D4E41" w:rsidRDefault="00766105" w:rsidP="00D11A09">
            <w:pPr>
              <w:tabs>
                <w:tab w:val="left" w:pos="720"/>
                <w:tab w:val="left" w:pos="1440"/>
                <w:tab w:val="left" w:pos="2160"/>
                <w:tab w:val="left" w:pos="2880"/>
              </w:tabs>
              <w:rPr>
                <w:rFonts w:cs="Arial"/>
                <w:color w:val="0000FF"/>
                <w:u w:val="single"/>
                <w:lang w:val="de-DE"/>
              </w:rPr>
            </w:pPr>
            <w:r w:rsidRPr="005D4E41">
              <w:rPr>
                <w:rFonts w:cs="Arial"/>
                <w:lang w:val="de-DE"/>
              </w:rPr>
              <w:t>Tel:  01865 252</w:t>
            </w:r>
            <w:r w:rsidR="00D11A09" w:rsidRPr="005D4E41">
              <w:rPr>
                <w:rFonts w:cs="Arial"/>
                <w:lang w:val="de-DE"/>
              </w:rPr>
              <w:t>517</w:t>
            </w:r>
            <w:r w:rsidRPr="005D4E41">
              <w:rPr>
                <w:rFonts w:cs="Arial"/>
                <w:lang w:val="de-DE"/>
              </w:rPr>
              <w:t xml:space="preserve">  e-mail:  </w:t>
            </w:r>
            <w:hyperlink r:id="rId8" w:history="1">
              <w:r w:rsidR="00D11A09" w:rsidRPr="005D4E41">
                <w:rPr>
                  <w:rStyle w:val="Hyperlink"/>
                  <w:rFonts w:cs="Arial"/>
                  <w:lang w:val="de-DE"/>
                </w:rPr>
                <w:t>awinship@oxford.gov.uk</w:t>
              </w:r>
            </w:hyperlink>
          </w:p>
        </w:tc>
      </w:tr>
    </w:tbl>
    <w:p w:rsidR="00766105" w:rsidRPr="005D4E41" w:rsidRDefault="00766105" w:rsidP="00766105">
      <w:pPr>
        <w:rPr>
          <w:rFonts w:cs="Arial"/>
          <w:b/>
          <w:bCs/>
          <w:lang w:val="de-DE"/>
        </w:rPr>
      </w:pPr>
    </w:p>
    <w:p w:rsidR="00840506" w:rsidRPr="005D4E41" w:rsidRDefault="00840506" w:rsidP="00547E28">
      <w:pPr>
        <w:ind w:right="43"/>
        <w:rPr>
          <w:rFonts w:cs="Arial"/>
          <w:b/>
          <w:bCs/>
        </w:rPr>
      </w:pPr>
      <w:r w:rsidRPr="005D4E41">
        <w:rPr>
          <w:rFonts w:cs="Arial"/>
          <w:b/>
          <w:bCs/>
        </w:rPr>
        <w:t xml:space="preserve">Background papers: </w:t>
      </w:r>
      <w:r w:rsidR="00766105" w:rsidRPr="005D4E41">
        <w:rPr>
          <w:rFonts w:cs="Arial"/>
          <w:b/>
          <w:bCs/>
        </w:rPr>
        <w:t>None</w:t>
      </w:r>
    </w:p>
    <w:p w:rsidR="00840506" w:rsidRPr="005D4E41" w:rsidRDefault="00840506" w:rsidP="00547E28">
      <w:pPr>
        <w:ind w:right="43"/>
        <w:rPr>
          <w:rFonts w:cs="Arial"/>
          <w:b/>
          <w:bCs/>
        </w:rPr>
      </w:pPr>
    </w:p>
    <w:sectPr w:rsidR="00840506" w:rsidRPr="005D4E41" w:rsidSect="005D4E41">
      <w:footerReference w:type="default" r:id="rId9"/>
      <w:pgSz w:w="11906" w:h="16838"/>
      <w:pgMar w:top="1304" w:right="1304" w:bottom="1304" w:left="1304" w:header="709"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1B4" w:rsidRDefault="00D011B4">
      <w:r>
        <w:separator/>
      </w:r>
    </w:p>
  </w:endnote>
  <w:endnote w:type="continuationSeparator" w:id="0">
    <w:p w:rsidR="00D011B4" w:rsidRDefault="00D01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S Lola">
    <w:altName w:val="FS Lol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5A5" w:rsidRDefault="000675A5">
    <w:pPr>
      <w:pStyle w:val="Footer"/>
      <w:jc w:val="center"/>
    </w:pPr>
  </w:p>
  <w:p w:rsidR="00840506" w:rsidRDefault="008405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1B4" w:rsidRDefault="00D011B4">
      <w:r>
        <w:separator/>
      </w:r>
    </w:p>
  </w:footnote>
  <w:footnote w:type="continuationSeparator" w:id="0">
    <w:p w:rsidR="00D011B4" w:rsidRDefault="00D011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C3D7BF0"/>
    <w:multiLevelType w:val="hybridMultilevel"/>
    <w:tmpl w:val="31B8E49E"/>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E3AF3"/>
    <w:multiLevelType w:val="hybridMultilevel"/>
    <w:tmpl w:val="25A46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6301B"/>
    <w:multiLevelType w:val="hybridMultilevel"/>
    <w:tmpl w:val="8F84496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38C30BB"/>
    <w:multiLevelType w:val="multilevel"/>
    <w:tmpl w:val="E67CE66C"/>
    <w:styleLink w:val="StyleNumberedLeft0cmHanging075cm"/>
    <w:lvl w:ilvl="0">
      <w:start w:val="1"/>
      <w:numFmt w:val="decimal"/>
      <w:lvlText w:val="%1."/>
      <w:lvlJc w:val="left"/>
      <w:pPr>
        <w:ind w:left="644"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4CB0654"/>
    <w:multiLevelType w:val="hybridMultilevel"/>
    <w:tmpl w:val="DEFAB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4E153A3"/>
    <w:multiLevelType w:val="hybridMultilevel"/>
    <w:tmpl w:val="9200727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06B15CBE"/>
    <w:multiLevelType w:val="hybridMultilevel"/>
    <w:tmpl w:val="7FD23D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1E211BD9"/>
    <w:multiLevelType w:val="hybridMultilevel"/>
    <w:tmpl w:val="F5CE6A3E"/>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E903582"/>
    <w:multiLevelType w:val="hybridMultilevel"/>
    <w:tmpl w:val="64403F96"/>
    <w:lvl w:ilvl="0" w:tplc="0809000F">
      <w:start w:val="1"/>
      <w:numFmt w:val="decimal"/>
      <w:lvlText w:val="%1."/>
      <w:lvlJc w:val="left"/>
      <w:pPr>
        <w:ind w:left="1620" w:hanging="360"/>
      </w:pPr>
    </w:lvl>
    <w:lvl w:ilvl="1" w:tplc="08090001">
      <w:start w:val="1"/>
      <w:numFmt w:val="bullet"/>
      <w:lvlText w:val=""/>
      <w:lvlJc w:val="left"/>
      <w:pPr>
        <w:ind w:left="2340" w:hanging="360"/>
      </w:pPr>
      <w:rPr>
        <w:rFonts w:ascii="Symbol" w:hAnsi="Symbol" w:hint="default"/>
      </w:r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9" w15:restartNumberingAfterBreak="0">
    <w:nsid w:val="25350F40"/>
    <w:multiLevelType w:val="hybridMultilevel"/>
    <w:tmpl w:val="888CD2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5E503AB"/>
    <w:multiLevelType w:val="hybridMultilevel"/>
    <w:tmpl w:val="D91C982C"/>
    <w:lvl w:ilvl="0" w:tplc="08090001">
      <w:start w:val="1"/>
      <w:numFmt w:val="bullet"/>
      <w:lvlText w:val=""/>
      <w:lvlJc w:val="left"/>
      <w:pPr>
        <w:ind w:left="1620" w:hanging="360"/>
      </w:pPr>
      <w:rPr>
        <w:rFonts w:ascii="Symbol" w:hAnsi="Symbol" w:hint="default"/>
      </w:rPr>
    </w:lvl>
    <w:lvl w:ilvl="1" w:tplc="08090001">
      <w:start w:val="1"/>
      <w:numFmt w:val="bullet"/>
      <w:lvlText w:val=""/>
      <w:lvlJc w:val="left"/>
      <w:pPr>
        <w:ind w:left="2340" w:hanging="360"/>
      </w:pPr>
      <w:rPr>
        <w:rFonts w:ascii="Symbol" w:hAnsi="Symbol" w:hint="default"/>
      </w:r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1" w15:restartNumberingAfterBreak="0">
    <w:nsid w:val="31750E6A"/>
    <w:multiLevelType w:val="hybridMultilevel"/>
    <w:tmpl w:val="76BC7ED0"/>
    <w:lvl w:ilvl="0" w:tplc="08090001">
      <w:start w:val="1"/>
      <w:numFmt w:val="bullet"/>
      <w:lvlText w:val=""/>
      <w:lvlJc w:val="left"/>
      <w:pPr>
        <w:ind w:left="1768" w:hanging="360"/>
      </w:pPr>
      <w:rPr>
        <w:rFonts w:ascii="Symbol" w:hAnsi="Symbol" w:hint="default"/>
      </w:rPr>
    </w:lvl>
    <w:lvl w:ilvl="1" w:tplc="08090003" w:tentative="1">
      <w:start w:val="1"/>
      <w:numFmt w:val="bullet"/>
      <w:lvlText w:val="o"/>
      <w:lvlJc w:val="left"/>
      <w:pPr>
        <w:ind w:left="2488" w:hanging="360"/>
      </w:pPr>
      <w:rPr>
        <w:rFonts w:ascii="Courier New" w:hAnsi="Courier New" w:cs="Courier New" w:hint="default"/>
      </w:rPr>
    </w:lvl>
    <w:lvl w:ilvl="2" w:tplc="08090005" w:tentative="1">
      <w:start w:val="1"/>
      <w:numFmt w:val="bullet"/>
      <w:lvlText w:val=""/>
      <w:lvlJc w:val="left"/>
      <w:pPr>
        <w:ind w:left="3208" w:hanging="360"/>
      </w:pPr>
      <w:rPr>
        <w:rFonts w:ascii="Wingdings" w:hAnsi="Wingdings" w:hint="default"/>
      </w:rPr>
    </w:lvl>
    <w:lvl w:ilvl="3" w:tplc="08090001" w:tentative="1">
      <w:start w:val="1"/>
      <w:numFmt w:val="bullet"/>
      <w:lvlText w:val=""/>
      <w:lvlJc w:val="left"/>
      <w:pPr>
        <w:ind w:left="3928" w:hanging="360"/>
      </w:pPr>
      <w:rPr>
        <w:rFonts w:ascii="Symbol" w:hAnsi="Symbol" w:hint="default"/>
      </w:rPr>
    </w:lvl>
    <w:lvl w:ilvl="4" w:tplc="08090003" w:tentative="1">
      <w:start w:val="1"/>
      <w:numFmt w:val="bullet"/>
      <w:lvlText w:val="o"/>
      <w:lvlJc w:val="left"/>
      <w:pPr>
        <w:ind w:left="4648" w:hanging="360"/>
      </w:pPr>
      <w:rPr>
        <w:rFonts w:ascii="Courier New" w:hAnsi="Courier New" w:cs="Courier New" w:hint="default"/>
      </w:rPr>
    </w:lvl>
    <w:lvl w:ilvl="5" w:tplc="08090005" w:tentative="1">
      <w:start w:val="1"/>
      <w:numFmt w:val="bullet"/>
      <w:lvlText w:val=""/>
      <w:lvlJc w:val="left"/>
      <w:pPr>
        <w:ind w:left="5368" w:hanging="360"/>
      </w:pPr>
      <w:rPr>
        <w:rFonts w:ascii="Wingdings" w:hAnsi="Wingdings" w:hint="default"/>
      </w:rPr>
    </w:lvl>
    <w:lvl w:ilvl="6" w:tplc="08090001" w:tentative="1">
      <w:start w:val="1"/>
      <w:numFmt w:val="bullet"/>
      <w:lvlText w:val=""/>
      <w:lvlJc w:val="left"/>
      <w:pPr>
        <w:ind w:left="6088" w:hanging="360"/>
      </w:pPr>
      <w:rPr>
        <w:rFonts w:ascii="Symbol" w:hAnsi="Symbol" w:hint="default"/>
      </w:rPr>
    </w:lvl>
    <w:lvl w:ilvl="7" w:tplc="08090003" w:tentative="1">
      <w:start w:val="1"/>
      <w:numFmt w:val="bullet"/>
      <w:lvlText w:val="o"/>
      <w:lvlJc w:val="left"/>
      <w:pPr>
        <w:ind w:left="6808" w:hanging="360"/>
      </w:pPr>
      <w:rPr>
        <w:rFonts w:ascii="Courier New" w:hAnsi="Courier New" w:cs="Courier New" w:hint="default"/>
      </w:rPr>
    </w:lvl>
    <w:lvl w:ilvl="8" w:tplc="08090005" w:tentative="1">
      <w:start w:val="1"/>
      <w:numFmt w:val="bullet"/>
      <w:lvlText w:val=""/>
      <w:lvlJc w:val="left"/>
      <w:pPr>
        <w:ind w:left="7528" w:hanging="360"/>
      </w:pPr>
      <w:rPr>
        <w:rFonts w:ascii="Wingdings" w:hAnsi="Wingdings" w:hint="default"/>
      </w:rPr>
    </w:lvl>
  </w:abstractNum>
  <w:abstractNum w:abstractNumId="12" w15:restartNumberingAfterBreak="0">
    <w:nsid w:val="35385E3D"/>
    <w:multiLevelType w:val="hybridMultilevel"/>
    <w:tmpl w:val="B6DEE080"/>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13" w15:restartNumberingAfterBreak="0">
    <w:nsid w:val="375A3E5A"/>
    <w:multiLevelType w:val="hybridMultilevel"/>
    <w:tmpl w:val="4BEE6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4021E3"/>
    <w:multiLevelType w:val="hybridMultilevel"/>
    <w:tmpl w:val="967A43AA"/>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5" w15:restartNumberingAfterBreak="0">
    <w:nsid w:val="3E25641A"/>
    <w:multiLevelType w:val="hybridMultilevel"/>
    <w:tmpl w:val="43D0DD8A"/>
    <w:lvl w:ilvl="0" w:tplc="08090001">
      <w:start w:val="1"/>
      <w:numFmt w:val="bullet"/>
      <w:lvlText w:val=""/>
      <w:lvlJc w:val="left"/>
      <w:pPr>
        <w:ind w:left="1048" w:hanging="360"/>
      </w:pPr>
      <w:rPr>
        <w:rFonts w:ascii="Symbol" w:hAnsi="Symbol" w:hint="default"/>
      </w:rPr>
    </w:lvl>
    <w:lvl w:ilvl="1" w:tplc="08090003">
      <w:start w:val="1"/>
      <w:numFmt w:val="bullet"/>
      <w:lvlText w:val="o"/>
      <w:lvlJc w:val="left"/>
      <w:pPr>
        <w:ind w:left="1768" w:hanging="360"/>
      </w:pPr>
      <w:rPr>
        <w:rFonts w:ascii="Courier New" w:hAnsi="Courier New" w:cs="Courier New" w:hint="default"/>
      </w:rPr>
    </w:lvl>
    <w:lvl w:ilvl="2" w:tplc="08090005" w:tentative="1">
      <w:start w:val="1"/>
      <w:numFmt w:val="bullet"/>
      <w:lvlText w:val=""/>
      <w:lvlJc w:val="left"/>
      <w:pPr>
        <w:ind w:left="2488" w:hanging="360"/>
      </w:pPr>
      <w:rPr>
        <w:rFonts w:ascii="Wingdings" w:hAnsi="Wingdings" w:hint="default"/>
      </w:rPr>
    </w:lvl>
    <w:lvl w:ilvl="3" w:tplc="08090001" w:tentative="1">
      <w:start w:val="1"/>
      <w:numFmt w:val="bullet"/>
      <w:lvlText w:val=""/>
      <w:lvlJc w:val="left"/>
      <w:pPr>
        <w:ind w:left="3208" w:hanging="360"/>
      </w:pPr>
      <w:rPr>
        <w:rFonts w:ascii="Symbol" w:hAnsi="Symbol" w:hint="default"/>
      </w:rPr>
    </w:lvl>
    <w:lvl w:ilvl="4" w:tplc="08090003" w:tentative="1">
      <w:start w:val="1"/>
      <w:numFmt w:val="bullet"/>
      <w:lvlText w:val="o"/>
      <w:lvlJc w:val="left"/>
      <w:pPr>
        <w:ind w:left="3928" w:hanging="360"/>
      </w:pPr>
      <w:rPr>
        <w:rFonts w:ascii="Courier New" w:hAnsi="Courier New" w:cs="Courier New" w:hint="default"/>
      </w:rPr>
    </w:lvl>
    <w:lvl w:ilvl="5" w:tplc="08090005" w:tentative="1">
      <w:start w:val="1"/>
      <w:numFmt w:val="bullet"/>
      <w:lvlText w:val=""/>
      <w:lvlJc w:val="left"/>
      <w:pPr>
        <w:ind w:left="4648" w:hanging="360"/>
      </w:pPr>
      <w:rPr>
        <w:rFonts w:ascii="Wingdings" w:hAnsi="Wingdings" w:hint="default"/>
      </w:rPr>
    </w:lvl>
    <w:lvl w:ilvl="6" w:tplc="08090001" w:tentative="1">
      <w:start w:val="1"/>
      <w:numFmt w:val="bullet"/>
      <w:lvlText w:val=""/>
      <w:lvlJc w:val="left"/>
      <w:pPr>
        <w:ind w:left="5368" w:hanging="360"/>
      </w:pPr>
      <w:rPr>
        <w:rFonts w:ascii="Symbol" w:hAnsi="Symbol" w:hint="default"/>
      </w:rPr>
    </w:lvl>
    <w:lvl w:ilvl="7" w:tplc="08090003" w:tentative="1">
      <w:start w:val="1"/>
      <w:numFmt w:val="bullet"/>
      <w:lvlText w:val="o"/>
      <w:lvlJc w:val="left"/>
      <w:pPr>
        <w:ind w:left="6088" w:hanging="360"/>
      </w:pPr>
      <w:rPr>
        <w:rFonts w:ascii="Courier New" w:hAnsi="Courier New" w:cs="Courier New" w:hint="default"/>
      </w:rPr>
    </w:lvl>
    <w:lvl w:ilvl="8" w:tplc="08090005" w:tentative="1">
      <w:start w:val="1"/>
      <w:numFmt w:val="bullet"/>
      <w:lvlText w:val=""/>
      <w:lvlJc w:val="left"/>
      <w:pPr>
        <w:ind w:left="6808" w:hanging="360"/>
      </w:pPr>
      <w:rPr>
        <w:rFonts w:ascii="Wingdings" w:hAnsi="Wingdings" w:hint="default"/>
      </w:rPr>
    </w:lvl>
  </w:abstractNum>
  <w:abstractNum w:abstractNumId="16" w15:restartNumberingAfterBreak="0">
    <w:nsid w:val="428472E6"/>
    <w:multiLevelType w:val="hybridMultilevel"/>
    <w:tmpl w:val="F2CACEDE"/>
    <w:lvl w:ilvl="0" w:tplc="08090017">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15:restartNumberingAfterBreak="0">
    <w:nsid w:val="42C260B6"/>
    <w:multiLevelType w:val="hybridMultilevel"/>
    <w:tmpl w:val="D526B9F6"/>
    <w:lvl w:ilvl="0" w:tplc="0809000F">
      <w:start w:val="1"/>
      <w:numFmt w:val="decimal"/>
      <w:lvlText w:val="%1."/>
      <w:lvlJc w:val="left"/>
      <w:pPr>
        <w:ind w:left="1620" w:hanging="360"/>
      </w:pPr>
    </w:lvl>
    <w:lvl w:ilvl="1" w:tplc="08090001">
      <w:start w:val="1"/>
      <w:numFmt w:val="bullet"/>
      <w:lvlText w:val=""/>
      <w:lvlJc w:val="left"/>
      <w:pPr>
        <w:ind w:left="2340" w:hanging="360"/>
      </w:pPr>
      <w:rPr>
        <w:rFonts w:ascii="Symbol" w:hAnsi="Symbol" w:hint="default"/>
      </w:r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8" w15:restartNumberingAfterBreak="0">
    <w:nsid w:val="44B80D02"/>
    <w:multiLevelType w:val="hybridMultilevel"/>
    <w:tmpl w:val="59C65DFA"/>
    <w:lvl w:ilvl="0" w:tplc="08090001">
      <w:start w:val="1"/>
      <w:numFmt w:val="bullet"/>
      <w:lvlText w:val=""/>
      <w:lvlJc w:val="left"/>
      <w:pPr>
        <w:ind w:left="1048" w:hanging="360"/>
      </w:pPr>
      <w:rPr>
        <w:rFonts w:ascii="Symbol" w:hAnsi="Symbol" w:hint="default"/>
      </w:rPr>
    </w:lvl>
    <w:lvl w:ilvl="1" w:tplc="08090003" w:tentative="1">
      <w:start w:val="1"/>
      <w:numFmt w:val="bullet"/>
      <w:lvlText w:val="o"/>
      <w:lvlJc w:val="left"/>
      <w:pPr>
        <w:ind w:left="1768" w:hanging="360"/>
      </w:pPr>
      <w:rPr>
        <w:rFonts w:ascii="Courier New" w:hAnsi="Courier New" w:cs="Courier New" w:hint="default"/>
      </w:rPr>
    </w:lvl>
    <w:lvl w:ilvl="2" w:tplc="08090005" w:tentative="1">
      <w:start w:val="1"/>
      <w:numFmt w:val="bullet"/>
      <w:lvlText w:val=""/>
      <w:lvlJc w:val="left"/>
      <w:pPr>
        <w:ind w:left="2488" w:hanging="360"/>
      </w:pPr>
      <w:rPr>
        <w:rFonts w:ascii="Wingdings" w:hAnsi="Wingdings" w:hint="default"/>
      </w:rPr>
    </w:lvl>
    <w:lvl w:ilvl="3" w:tplc="08090001" w:tentative="1">
      <w:start w:val="1"/>
      <w:numFmt w:val="bullet"/>
      <w:lvlText w:val=""/>
      <w:lvlJc w:val="left"/>
      <w:pPr>
        <w:ind w:left="3208" w:hanging="360"/>
      </w:pPr>
      <w:rPr>
        <w:rFonts w:ascii="Symbol" w:hAnsi="Symbol" w:hint="default"/>
      </w:rPr>
    </w:lvl>
    <w:lvl w:ilvl="4" w:tplc="08090003" w:tentative="1">
      <w:start w:val="1"/>
      <w:numFmt w:val="bullet"/>
      <w:lvlText w:val="o"/>
      <w:lvlJc w:val="left"/>
      <w:pPr>
        <w:ind w:left="3928" w:hanging="360"/>
      </w:pPr>
      <w:rPr>
        <w:rFonts w:ascii="Courier New" w:hAnsi="Courier New" w:cs="Courier New" w:hint="default"/>
      </w:rPr>
    </w:lvl>
    <w:lvl w:ilvl="5" w:tplc="08090005" w:tentative="1">
      <w:start w:val="1"/>
      <w:numFmt w:val="bullet"/>
      <w:lvlText w:val=""/>
      <w:lvlJc w:val="left"/>
      <w:pPr>
        <w:ind w:left="4648" w:hanging="360"/>
      </w:pPr>
      <w:rPr>
        <w:rFonts w:ascii="Wingdings" w:hAnsi="Wingdings" w:hint="default"/>
      </w:rPr>
    </w:lvl>
    <w:lvl w:ilvl="6" w:tplc="08090001" w:tentative="1">
      <w:start w:val="1"/>
      <w:numFmt w:val="bullet"/>
      <w:lvlText w:val=""/>
      <w:lvlJc w:val="left"/>
      <w:pPr>
        <w:ind w:left="5368" w:hanging="360"/>
      </w:pPr>
      <w:rPr>
        <w:rFonts w:ascii="Symbol" w:hAnsi="Symbol" w:hint="default"/>
      </w:rPr>
    </w:lvl>
    <w:lvl w:ilvl="7" w:tplc="08090003" w:tentative="1">
      <w:start w:val="1"/>
      <w:numFmt w:val="bullet"/>
      <w:lvlText w:val="o"/>
      <w:lvlJc w:val="left"/>
      <w:pPr>
        <w:ind w:left="6088" w:hanging="360"/>
      </w:pPr>
      <w:rPr>
        <w:rFonts w:ascii="Courier New" w:hAnsi="Courier New" w:cs="Courier New" w:hint="default"/>
      </w:rPr>
    </w:lvl>
    <w:lvl w:ilvl="8" w:tplc="08090005" w:tentative="1">
      <w:start w:val="1"/>
      <w:numFmt w:val="bullet"/>
      <w:lvlText w:val=""/>
      <w:lvlJc w:val="left"/>
      <w:pPr>
        <w:ind w:left="6808" w:hanging="360"/>
      </w:pPr>
      <w:rPr>
        <w:rFonts w:ascii="Wingdings" w:hAnsi="Wingdings" w:hint="default"/>
      </w:rPr>
    </w:lvl>
  </w:abstractNum>
  <w:abstractNum w:abstractNumId="19" w15:restartNumberingAfterBreak="0">
    <w:nsid w:val="46404C98"/>
    <w:multiLevelType w:val="hybridMultilevel"/>
    <w:tmpl w:val="94C6DBAA"/>
    <w:lvl w:ilvl="0" w:tplc="6322AC76">
      <w:start w:val="1"/>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2C076E"/>
    <w:multiLevelType w:val="hybridMultilevel"/>
    <w:tmpl w:val="03FE616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1" w15:restartNumberingAfterBreak="0">
    <w:nsid w:val="4FF414D5"/>
    <w:multiLevelType w:val="hybridMultilevel"/>
    <w:tmpl w:val="B39C1A8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5E2A4373"/>
    <w:multiLevelType w:val="hybridMultilevel"/>
    <w:tmpl w:val="882A1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4141BE"/>
    <w:multiLevelType w:val="hybridMultilevel"/>
    <w:tmpl w:val="ABA691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4F85892"/>
    <w:multiLevelType w:val="hybridMultilevel"/>
    <w:tmpl w:val="4EB6F462"/>
    <w:lvl w:ilvl="0" w:tplc="08090001">
      <w:start w:val="1"/>
      <w:numFmt w:val="bullet"/>
      <w:lvlText w:val=""/>
      <w:lvlJc w:val="left"/>
      <w:pPr>
        <w:ind w:left="1768" w:hanging="360"/>
      </w:pPr>
      <w:rPr>
        <w:rFonts w:ascii="Symbol" w:hAnsi="Symbol" w:hint="default"/>
      </w:rPr>
    </w:lvl>
    <w:lvl w:ilvl="1" w:tplc="08090003" w:tentative="1">
      <w:start w:val="1"/>
      <w:numFmt w:val="bullet"/>
      <w:lvlText w:val="o"/>
      <w:lvlJc w:val="left"/>
      <w:pPr>
        <w:ind w:left="2488" w:hanging="360"/>
      </w:pPr>
      <w:rPr>
        <w:rFonts w:ascii="Courier New" w:hAnsi="Courier New" w:cs="Courier New" w:hint="default"/>
      </w:rPr>
    </w:lvl>
    <w:lvl w:ilvl="2" w:tplc="08090005" w:tentative="1">
      <w:start w:val="1"/>
      <w:numFmt w:val="bullet"/>
      <w:lvlText w:val=""/>
      <w:lvlJc w:val="left"/>
      <w:pPr>
        <w:ind w:left="3208" w:hanging="360"/>
      </w:pPr>
      <w:rPr>
        <w:rFonts w:ascii="Wingdings" w:hAnsi="Wingdings" w:hint="default"/>
      </w:rPr>
    </w:lvl>
    <w:lvl w:ilvl="3" w:tplc="08090001" w:tentative="1">
      <w:start w:val="1"/>
      <w:numFmt w:val="bullet"/>
      <w:lvlText w:val=""/>
      <w:lvlJc w:val="left"/>
      <w:pPr>
        <w:ind w:left="3928" w:hanging="360"/>
      </w:pPr>
      <w:rPr>
        <w:rFonts w:ascii="Symbol" w:hAnsi="Symbol" w:hint="default"/>
      </w:rPr>
    </w:lvl>
    <w:lvl w:ilvl="4" w:tplc="08090003" w:tentative="1">
      <w:start w:val="1"/>
      <w:numFmt w:val="bullet"/>
      <w:lvlText w:val="o"/>
      <w:lvlJc w:val="left"/>
      <w:pPr>
        <w:ind w:left="4648" w:hanging="360"/>
      </w:pPr>
      <w:rPr>
        <w:rFonts w:ascii="Courier New" w:hAnsi="Courier New" w:cs="Courier New" w:hint="default"/>
      </w:rPr>
    </w:lvl>
    <w:lvl w:ilvl="5" w:tplc="08090005" w:tentative="1">
      <w:start w:val="1"/>
      <w:numFmt w:val="bullet"/>
      <w:lvlText w:val=""/>
      <w:lvlJc w:val="left"/>
      <w:pPr>
        <w:ind w:left="5368" w:hanging="360"/>
      </w:pPr>
      <w:rPr>
        <w:rFonts w:ascii="Wingdings" w:hAnsi="Wingdings" w:hint="default"/>
      </w:rPr>
    </w:lvl>
    <w:lvl w:ilvl="6" w:tplc="08090001" w:tentative="1">
      <w:start w:val="1"/>
      <w:numFmt w:val="bullet"/>
      <w:lvlText w:val=""/>
      <w:lvlJc w:val="left"/>
      <w:pPr>
        <w:ind w:left="6088" w:hanging="360"/>
      </w:pPr>
      <w:rPr>
        <w:rFonts w:ascii="Symbol" w:hAnsi="Symbol" w:hint="default"/>
      </w:rPr>
    </w:lvl>
    <w:lvl w:ilvl="7" w:tplc="08090003" w:tentative="1">
      <w:start w:val="1"/>
      <w:numFmt w:val="bullet"/>
      <w:lvlText w:val="o"/>
      <w:lvlJc w:val="left"/>
      <w:pPr>
        <w:ind w:left="6808" w:hanging="360"/>
      </w:pPr>
      <w:rPr>
        <w:rFonts w:ascii="Courier New" w:hAnsi="Courier New" w:cs="Courier New" w:hint="default"/>
      </w:rPr>
    </w:lvl>
    <w:lvl w:ilvl="8" w:tplc="08090005" w:tentative="1">
      <w:start w:val="1"/>
      <w:numFmt w:val="bullet"/>
      <w:lvlText w:val=""/>
      <w:lvlJc w:val="left"/>
      <w:pPr>
        <w:ind w:left="7528" w:hanging="360"/>
      </w:pPr>
      <w:rPr>
        <w:rFonts w:ascii="Wingdings" w:hAnsi="Wingdings" w:hint="default"/>
      </w:rPr>
    </w:lvl>
  </w:abstractNum>
  <w:abstractNum w:abstractNumId="25" w15:restartNumberingAfterBreak="0">
    <w:nsid w:val="66464D25"/>
    <w:multiLevelType w:val="hybridMultilevel"/>
    <w:tmpl w:val="D16EFAC4"/>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6" w15:restartNumberingAfterBreak="0">
    <w:nsid w:val="671968B8"/>
    <w:multiLevelType w:val="hybridMultilevel"/>
    <w:tmpl w:val="53B6E6DA"/>
    <w:lvl w:ilvl="0" w:tplc="B28C1508">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495222"/>
    <w:multiLevelType w:val="hybridMultilevel"/>
    <w:tmpl w:val="6A605C46"/>
    <w:lvl w:ilvl="0" w:tplc="08090001">
      <w:start w:val="1"/>
      <w:numFmt w:val="bullet"/>
      <w:lvlText w:val=""/>
      <w:lvlJc w:val="left"/>
      <w:rPr>
        <w:rFonts w:ascii="Symbol" w:hAnsi="Symbol" w:hint="default"/>
      </w:rPr>
    </w:lvl>
    <w:lvl w:ilvl="1" w:tplc="08090001">
      <w:start w:val="1"/>
      <w:numFmt w:val="bullet"/>
      <w:lvlText w:val=""/>
      <w:lvlJc w:val="left"/>
      <w:rPr>
        <w:rFonts w:ascii="Symbol" w:hAnsi="Symbol" w:hint="default"/>
      </w:rPr>
    </w:lvl>
    <w:lvl w:ilvl="2" w:tplc="08090003">
      <w:start w:val="1"/>
      <w:numFmt w:val="bullet"/>
      <w:lvlText w:val="o"/>
      <w:lvlJc w:val="left"/>
      <w:rPr>
        <w:rFonts w:ascii="Courier New" w:hAnsi="Courier New" w:cs="Courier New" w:hint="default"/>
      </w:rPr>
    </w:lvl>
    <w:lvl w:ilvl="3" w:tplc="FFFFFFFF">
      <w:numFmt w:val="decimal"/>
      <w:lvlText w:val=""/>
      <w:lvlJc w:val="left"/>
    </w:lvl>
    <w:lvl w:ilvl="4" w:tplc="08090001">
      <w:start w:val="1"/>
      <w:numFmt w:val="bullet"/>
      <w:lvlText w:val=""/>
      <w:lvlJc w:val="left"/>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C2F88C5"/>
    <w:multiLevelType w:val="hybridMultilevel"/>
    <w:tmpl w:val="787CBF28"/>
    <w:lvl w:ilvl="0" w:tplc="08090001">
      <w:start w:val="1"/>
      <w:numFmt w:val="bullet"/>
      <w:lvlText w:val=""/>
      <w:lvlJc w:val="left"/>
      <w:rPr>
        <w:rFonts w:ascii="Symbol" w:hAnsi="Symbol" w:hint="default"/>
      </w:rPr>
    </w:lvl>
    <w:lvl w:ilvl="1" w:tplc="08090001">
      <w:start w:val="1"/>
      <w:numFmt w:val="bullet"/>
      <w:lvlText w:val=""/>
      <w:lvlJc w:val="left"/>
      <w:rPr>
        <w:rFonts w:ascii="Symbol" w:hAnsi="Symbol" w:hint="default"/>
      </w:rPr>
    </w:lvl>
    <w:lvl w:ilvl="2" w:tplc="08090001">
      <w:start w:val="1"/>
      <w:numFmt w:val="bullet"/>
      <w:lvlText w:val=""/>
      <w:lvlJc w:val="left"/>
      <w:rPr>
        <w:rFonts w:ascii="Symbol" w:hAnsi="Symbol" w:hint="default"/>
      </w:rPr>
    </w:lvl>
    <w:lvl w:ilvl="3" w:tplc="FFFFFFFF">
      <w:numFmt w:val="decimal"/>
      <w:lvlText w:val=""/>
      <w:lvlJc w:val="left"/>
    </w:lvl>
    <w:lvl w:ilvl="4" w:tplc="08090001">
      <w:start w:val="1"/>
      <w:numFmt w:val="bullet"/>
      <w:lvlText w:val=""/>
      <w:lvlJc w:val="left"/>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ED708DC"/>
    <w:multiLevelType w:val="hybridMultilevel"/>
    <w:tmpl w:val="963CFE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FAF64E6"/>
    <w:multiLevelType w:val="hybridMultilevel"/>
    <w:tmpl w:val="15F0E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8D70EC"/>
    <w:multiLevelType w:val="hybridMultilevel"/>
    <w:tmpl w:val="CC48A1F0"/>
    <w:lvl w:ilvl="0" w:tplc="08090001">
      <w:start w:val="1"/>
      <w:numFmt w:val="bullet"/>
      <w:lvlText w:val=""/>
      <w:lvlJc w:val="left"/>
      <w:pPr>
        <w:ind w:left="1768" w:hanging="360"/>
      </w:pPr>
      <w:rPr>
        <w:rFonts w:ascii="Symbol" w:hAnsi="Symbol" w:hint="default"/>
      </w:rPr>
    </w:lvl>
    <w:lvl w:ilvl="1" w:tplc="08090003">
      <w:start w:val="1"/>
      <w:numFmt w:val="bullet"/>
      <w:lvlText w:val="o"/>
      <w:lvlJc w:val="left"/>
      <w:pPr>
        <w:ind w:left="2488" w:hanging="360"/>
      </w:pPr>
      <w:rPr>
        <w:rFonts w:ascii="Courier New" w:hAnsi="Courier New" w:cs="Courier New" w:hint="default"/>
      </w:rPr>
    </w:lvl>
    <w:lvl w:ilvl="2" w:tplc="08090005" w:tentative="1">
      <w:start w:val="1"/>
      <w:numFmt w:val="bullet"/>
      <w:lvlText w:val=""/>
      <w:lvlJc w:val="left"/>
      <w:pPr>
        <w:ind w:left="3208" w:hanging="360"/>
      </w:pPr>
      <w:rPr>
        <w:rFonts w:ascii="Wingdings" w:hAnsi="Wingdings" w:hint="default"/>
      </w:rPr>
    </w:lvl>
    <w:lvl w:ilvl="3" w:tplc="08090001" w:tentative="1">
      <w:start w:val="1"/>
      <w:numFmt w:val="bullet"/>
      <w:lvlText w:val=""/>
      <w:lvlJc w:val="left"/>
      <w:pPr>
        <w:ind w:left="3928" w:hanging="360"/>
      </w:pPr>
      <w:rPr>
        <w:rFonts w:ascii="Symbol" w:hAnsi="Symbol" w:hint="default"/>
      </w:rPr>
    </w:lvl>
    <w:lvl w:ilvl="4" w:tplc="08090003" w:tentative="1">
      <w:start w:val="1"/>
      <w:numFmt w:val="bullet"/>
      <w:lvlText w:val="o"/>
      <w:lvlJc w:val="left"/>
      <w:pPr>
        <w:ind w:left="4648" w:hanging="360"/>
      </w:pPr>
      <w:rPr>
        <w:rFonts w:ascii="Courier New" w:hAnsi="Courier New" w:cs="Courier New" w:hint="default"/>
      </w:rPr>
    </w:lvl>
    <w:lvl w:ilvl="5" w:tplc="08090005" w:tentative="1">
      <w:start w:val="1"/>
      <w:numFmt w:val="bullet"/>
      <w:lvlText w:val=""/>
      <w:lvlJc w:val="left"/>
      <w:pPr>
        <w:ind w:left="5368" w:hanging="360"/>
      </w:pPr>
      <w:rPr>
        <w:rFonts w:ascii="Wingdings" w:hAnsi="Wingdings" w:hint="default"/>
      </w:rPr>
    </w:lvl>
    <w:lvl w:ilvl="6" w:tplc="08090001" w:tentative="1">
      <w:start w:val="1"/>
      <w:numFmt w:val="bullet"/>
      <w:lvlText w:val=""/>
      <w:lvlJc w:val="left"/>
      <w:pPr>
        <w:ind w:left="6088" w:hanging="360"/>
      </w:pPr>
      <w:rPr>
        <w:rFonts w:ascii="Symbol" w:hAnsi="Symbol" w:hint="default"/>
      </w:rPr>
    </w:lvl>
    <w:lvl w:ilvl="7" w:tplc="08090003" w:tentative="1">
      <w:start w:val="1"/>
      <w:numFmt w:val="bullet"/>
      <w:lvlText w:val="o"/>
      <w:lvlJc w:val="left"/>
      <w:pPr>
        <w:ind w:left="6808" w:hanging="360"/>
      </w:pPr>
      <w:rPr>
        <w:rFonts w:ascii="Courier New" w:hAnsi="Courier New" w:cs="Courier New" w:hint="default"/>
      </w:rPr>
    </w:lvl>
    <w:lvl w:ilvl="8" w:tplc="08090005" w:tentative="1">
      <w:start w:val="1"/>
      <w:numFmt w:val="bullet"/>
      <w:lvlText w:val=""/>
      <w:lvlJc w:val="left"/>
      <w:pPr>
        <w:ind w:left="7528" w:hanging="360"/>
      </w:pPr>
      <w:rPr>
        <w:rFonts w:ascii="Wingdings" w:hAnsi="Wingdings" w:hint="default"/>
      </w:rPr>
    </w:lvl>
  </w:abstractNum>
  <w:abstractNum w:abstractNumId="32" w15:restartNumberingAfterBreak="0">
    <w:nsid w:val="7C1035A1"/>
    <w:multiLevelType w:val="hybridMultilevel"/>
    <w:tmpl w:val="2B18A7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30"/>
  </w:num>
  <w:num w:numId="3">
    <w:abstractNumId w:val="15"/>
  </w:num>
  <w:num w:numId="4">
    <w:abstractNumId w:val="1"/>
  </w:num>
  <w:num w:numId="5">
    <w:abstractNumId w:val="31"/>
  </w:num>
  <w:num w:numId="6">
    <w:abstractNumId w:val="32"/>
  </w:num>
  <w:num w:numId="7">
    <w:abstractNumId w:val="23"/>
  </w:num>
  <w:num w:numId="8">
    <w:abstractNumId w:val="11"/>
  </w:num>
  <w:num w:numId="9">
    <w:abstractNumId w:val="24"/>
  </w:num>
  <w:num w:numId="10">
    <w:abstractNumId w:val="9"/>
  </w:num>
  <w:num w:numId="11">
    <w:abstractNumId w:val="2"/>
  </w:num>
  <w:num w:numId="12">
    <w:abstractNumId w:val="22"/>
  </w:num>
  <w:num w:numId="13">
    <w:abstractNumId w:val="18"/>
  </w:num>
  <w:num w:numId="14">
    <w:abstractNumId w:val="12"/>
  </w:num>
  <w:num w:numId="15">
    <w:abstractNumId w:val="25"/>
  </w:num>
  <w:num w:numId="16">
    <w:abstractNumId w:val="20"/>
  </w:num>
  <w:num w:numId="17">
    <w:abstractNumId w:val="14"/>
  </w:num>
  <w:num w:numId="18">
    <w:abstractNumId w:val="28"/>
  </w:num>
  <w:num w:numId="19">
    <w:abstractNumId w:val="0"/>
  </w:num>
  <w:num w:numId="20">
    <w:abstractNumId w:val="5"/>
  </w:num>
  <w:num w:numId="21">
    <w:abstractNumId w:val="16"/>
  </w:num>
  <w:num w:numId="22">
    <w:abstractNumId w:val="27"/>
  </w:num>
  <w:num w:numId="23">
    <w:abstractNumId w:val="13"/>
  </w:num>
  <w:num w:numId="24">
    <w:abstractNumId w:val="29"/>
  </w:num>
  <w:num w:numId="25">
    <w:abstractNumId w:val="26"/>
  </w:num>
  <w:num w:numId="26">
    <w:abstractNumId w:val="4"/>
  </w:num>
  <w:num w:numId="27">
    <w:abstractNumId w:val="19"/>
  </w:num>
  <w:num w:numId="28">
    <w:abstractNumId w:val="8"/>
  </w:num>
  <w:num w:numId="29">
    <w:abstractNumId w:val="21"/>
  </w:num>
  <w:num w:numId="30">
    <w:abstractNumId w:val="17"/>
  </w:num>
  <w:num w:numId="31">
    <w:abstractNumId w:val="6"/>
  </w:num>
  <w:num w:numId="32">
    <w:abstractNumId w:val="7"/>
  </w:num>
  <w:num w:numId="33">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004"/>
    <w:rsid w:val="00010BE5"/>
    <w:rsid w:val="000569D3"/>
    <w:rsid w:val="000675A5"/>
    <w:rsid w:val="000908C5"/>
    <w:rsid w:val="000A337C"/>
    <w:rsid w:val="00121395"/>
    <w:rsid w:val="00124DA8"/>
    <w:rsid w:val="001258D5"/>
    <w:rsid w:val="00147D12"/>
    <w:rsid w:val="00192311"/>
    <w:rsid w:val="00195171"/>
    <w:rsid w:val="001B6BF2"/>
    <w:rsid w:val="001C3433"/>
    <w:rsid w:val="001E3006"/>
    <w:rsid w:val="001F72AA"/>
    <w:rsid w:val="0026136A"/>
    <w:rsid w:val="00283440"/>
    <w:rsid w:val="00292895"/>
    <w:rsid w:val="002935B1"/>
    <w:rsid w:val="002C5EC4"/>
    <w:rsid w:val="0036191E"/>
    <w:rsid w:val="00384D2B"/>
    <w:rsid w:val="003B2311"/>
    <w:rsid w:val="00415A8F"/>
    <w:rsid w:val="00461768"/>
    <w:rsid w:val="0049232A"/>
    <w:rsid w:val="004A747F"/>
    <w:rsid w:val="004B06D4"/>
    <w:rsid w:val="004F788C"/>
    <w:rsid w:val="005133A2"/>
    <w:rsid w:val="005327D4"/>
    <w:rsid w:val="00547E28"/>
    <w:rsid w:val="00555768"/>
    <w:rsid w:val="005A0252"/>
    <w:rsid w:val="005A3707"/>
    <w:rsid w:val="005D4E41"/>
    <w:rsid w:val="006524F5"/>
    <w:rsid w:val="006532BB"/>
    <w:rsid w:val="00657174"/>
    <w:rsid w:val="006A5C71"/>
    <w:rsid w:val="006B5122"/>
    <w:rsid w:val="00712C4B"/>
    <w:rsid w:val="007137A4"/>
    <w:rsid w:val="00766105"/>
    <w:rsid w:val="00770695"/>
    <w:rsid w:val="00772F83"/>
    <w:rsid w:val="007906D6"/>
    <w:rsid w:val="007D19FA"/>
    <w:rsid w:val="00823151"/>
    <w:rsid w:val="00840506"/>
    <w:rsid w:val="0087093E"/>
    <w:rsid w:val="00887C41"/>
    <w:rsid w:val="00894D75"/>
    <w:rsid w:val="00897D6C"/>
    <w:rsid w:val="008A0F28"/>
    <w:rsid w:val="008B2F87"/>
    <w:rsid w:val="008B5623"/>
    <w:rsid w:val="008B75C4"/>
    <w:rsid w:val="008C128D"/>
    <w:rsid w:val="008C1FE4"/>
    <w:rsid w:val="009019A9"/>
    <w:rsid w:val="00902330"/>
    <w:rsid w:val="00927A4F"/>
    <w:rsid w:val="00935806"/>
    <w:rsid w:val="00944B7D"/>
    <w:rsid w:val="0096032D"/>
    <w:rsid w:val="009A377A"/>
    <w:rsid w:val="00A00787"/>
    <w:rsid w:val="00A414C5"/>
    <w:rsid w:val="00A531CB"/>
    <w:rsid w:val="00A83D04"/>
    <w:rsid w:val="00A85499"/>
    <w:rsid w:val="00A87D42"/>
    <w:rsid w:val="00AA12BC"/>
    <w:rsid w:val="00AC48A0"/>
    <w:rsid w:val="00AF2B9F"/>
    <w:rsid w:val="00AF4B95"/>
    <w:rsid w:val="00AF7A47"/>
    <w:rsid w:val="00B05535"/>
    <w:rsid w:val="00B31224"/>
    <w:rsid w:val="00B32C49"/>
    <w:rsid w:val="00B3340C"/>
    <w:rsid w:val="00B72136"/>
    <w:rsid w:val="00B77E24"/>
    <w:rsid w:val="00BC4AEF"/>
    <w:rsid w:val="00C44741"/>
    <w:rsid w:val="00C45E79"/>
    <w:rsid w:val="00C47B36"/>
    <w:rsid w:val="00C517A0"/>
    <w:rsid w:val="00C55292"/>
    <w:rsid w:val="00C65BCB"/>
    <w:rsid w:val="00C83089"/>
    <w:rsid w:val="00C85DB1"/>
    <w:rsid w:val="00D011B4"/>
    <w:rsid w:val="00D0687B"/>
    <w:rsid w:val="00D11A09"/>
    <w:rsid w:val="00D512B9"/>
    <w:rsid w:val="00D57B4D"/>
    <w:rsid w:val="00D90B70"/>
    <w:rsid w:val="00DF3727"/>
    <w:rsid w:val="00E23D50"/>
    <w:rsid w:val="00E60879"/>
    <w:rsid w:val="00E717BE"/>
    <w:rsid w:val="00E97004"/>
    <w:rsid w:val="00ED5904"/>
    <w:rsid w:val="00EF1CE8"/>
    <w:rsid w:val="00EF3DAD"/>
    <w:rsid w:val="00F455B0"/>
    <w:rsid w:val="00F57FA0"/>
    <w:rsid w:val="00F602A3"/>
    <w:rsid w:val="00F76DBE"/>
    <w:rsid w:val="00FD1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8B91F47-C981-4DF9-8EF0-9422BA45C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rsid w:val="005D4E41"/>
    <w:pPr>
      <w:tabs>
        <w:tab w:val="left" w:pos="567"/>
      </w:tabs>
      <w:spacing w:before="120" w:after="120"/>
      <w:outlineLvl w:val="0"/>
    </w:pPr>
    <w:rPr>
      <w:rFonts w:cs="Arial"/>
      <w:b/>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emiHidden/>
  </w:style>
  <w:style w:type="paragraph" w:styleId="ListParagraph">
    <w:name w:val="List Paragraph"/>
    <w:basedOn w:val="Normal"/>
    <w:link w:val="ListParagraphChar"/>
    <w:uiPriority w:val="34"/>
    <w:qFormat/>
    <w:rsid w:val="009A377A"/>
    <w:pPr>
      <w:ind w:left="720"/>
    </w:pPr>
  </w:style>
  <w:style w:type="character" w:styleId="Hyperlink">
    <w:name w:val="Hyperlink"/>
    <w:rsid w:val="00766105"/>
    <w:rPr>
      <w:color w:val="0000FF"/>
      <w:u w:val="single"/>
    </w:rPr>
  </w:style>
  <w:style w:type="character" w:customStyle="1" w:styleId="ListParagraphChar">
    <w:name w:val="List Paragraph Char"/>
    <w:link w:val="ListParagraph"/>
    <w:uiPriority w:val="34"/>
    <w:rsid w:val="008B5623"/>
    <w:rPr>
      <w:rFonts w:ascii="Arial" w:hAnsi="Arial"/>
      <w:sz w:val="24"/>
      <w:szCs w:val="24"/>
      <w:lang w:eastAsia="en-US"/>
    </w:rPr>
  </w:style>
  <w:style w:type="numbering" w:customStyle="1" w:styleId="StyleNumberedLeft0cmHanging075cm">
    <w:name w:val="Style Numbered Left:  0 cm Hanging:  0.75 cm"/>
    <w:basedOn w:val="NoList"/>
    <w:rsid w:val="008B5623"/>
    <w:pPr>
      <w:numPr>
        <w:numId w:val="1"/>
      </w:numPr>
    </w:pPr>
  </w:style>
  <w:style w:type="table" w:styleId="TableGrid">
    <w:name w:val="Table Grid"/>
    <w:basedOn w:val="TableNormal"/>
    <w:uiPriority w:val="39"/>
    <w:rsid w:val="00555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23151"/>
    <w:pPr>
      <w:autoSpaceDE w:val="0"/>
      <w:autoSpaceDN w:val="0"/>
      <w:adjustRightInd w:val="0"/>
      <w:spacing w:line="231" w:lineRule="atLeast"/>
    </w:pPr>
    <w:rPr>
      <w:rFonts w:ascii="FS Lola" w:eastAsia="Calibri" w:hAnsi="FS Lola"/>
    </w:rPr>
  </w:style>
  <w:style w:type="paragraph" w:customStyle="1" w:styleId="Default">
    <w:name w:val="Default"/>
    <w:rsid w:val="00823151"/>
    <w:pPr>
      <w:autoSpaceDE w:val="0"/>
      <w:autoSpaceDN w:val="0"/>
      <w:adjustRightInd w:val="0"/>
    </w:pPr>
    <w:rPr>
      <w:rFonts w:ascii="FS Lola" w:eastAsia="Calibri" w:hAnsi="FS Lola" w:cs="FS Lola"/>
      <w:color w:val="000000"/>
      <w:sz w:val="24"/>
      <w:szCs w:val="24"/>
      <w:lang w:eastAsia="en-US"/>
    </w:rPr>
  </w:style>
  <w:style w:type="character" w:customStyle="1" w:styleId="FooterChar">
    <w:name w:val="Footer Char"/>
    <w:link w:val="Footer"/>
    <w:uiPriority w:val="99"/>
    <w:rsid w:val="000675A5"/>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inship@oxford.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6D8714C0.dotm</Template>
  <TotalTime>5</TotalTime>
  <Pages>4</Pages>
  <Words>1241</Words>
  <Characters>6606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7832</CharactersWithSpaces>
  <SharedDoc>false</SharedDoc>
  <HLinks>
    <vt:vector size="6" baseType="variant">
      <vt:variant>
        <vt:i4>3407943</vt:i4>
      </vt:variant>
      <vt:variant>
        <vt:i4>0</vt:i4>
      </vt:variant>
      <vt:variant>
        <vt:i4>0</vt:i4>
      </vt:variant>
      <vt:variant>
        <vt:i4>5</vt:i4>
      </vt:variant>
      <vt:variant>
        <vt:lpwstr>mailto:nkennedy@oxford.gov.uk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cp:lastModifiedBy>THOMPSON Jennifer</cp:lastModifiedBy>
  <cp:revision>3</cp:revision>
  <cp:lastPrinted>2008-06-11T14:21:00Z</cp:lastPrinted>
  <dcterms:created xsi:type="dcterms:W3CDTF">2021-03-25T12:21:00Z</dcterms:created>
  <dcterms:modified xsi:type="dcterms:W3CDTF">2021-04-14T11:57:00Z</dcterms:modified>
</cp:coreProperties>
</file>